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DE703" w14:textId="77777777" w:rsidR="00B435AC" w:rsidRDefault="00B435AC" w:rsidP="00B435AC">
      <w:pPr>
        <w:pBdr>
          <w:top w:val="single" w:sz="4" w:space="1" w:color="auto"/>
          <w:left w:val="single" w:sz="4" w:space="4" w:color="auto"/>
          <w:bottom w:val="single" w:sz="4" w:space="1" w:color="auto"/>
          <w:right w:val="single" w:sz="4" w:space="4" w:color="auto"/>
        </w:pBdr>
        <w:rPr>
          <w:rFonts w:ascii="Times" w:hAnsi="Times"/>
        </w:rPr>
      </w:pPr>
      <w:r>
        <w:rPr>
          <w:rFonts w:ascii="Times" w:hAnsi="Times"/>
        </w:rPr>
        <w:t xml:space="preserve">« Au nom de la République. » </w:t>
      </w:r>
      <w:r w:rsidRPr="00B435AC">
        <w:rPr>
          <w:rFonts w:ascii="Times" w:hAnsi="Times"/>
        </w:rPr>
        <w:t>Proclamation de Léger-Félicité Sonthonax au Cap,  29 août 1793. Source Gallica.fr</w:t>
      </w:r>
    </w:p>
    <w:p w14:paraId="59A44172" w14:textId="77777777" w:rsidR="00B435AC" w:rsidRPr="00B435AC" w:rsidRDefault="00B435AC" w:rsidP="00B435AC">
      <w:pPr>
        <w:jc w:val="center"/>
        <w:rPr>
          <w:rFonts w:ascii="Times" w:hAnsi="Times"/>
          <w:b/>
          <w:caps/>
        </w:rPr>
      </w:pPr>
      <w:r w:rsidRPr="00B435AC">
        <w:rPr>
          <w:rFonts w:ascii="Times" w:hAnsi="Times"/>
          <w:b/>
          <w:caps/>
        </w:rPr>
        <w:t>Au nom de la République.</w:t>
      </w:r>
    </w:p>
    <w:p w14:paraId="0D6F86B6" w14:textId="77777777" w:rsidR="00B435AC" w:rsidRDefault="00B435AC" w:rsidP="00B435AC">
      <w:pPr>
        <w:jc w:val="center"/>
        <w:rPr>
          <w:rFonts w:ascii="Times" w:hAnsi="Times"/>
          <w:b/>
          <w:caps/>
          <w:sz w:val="28"/>
        </w:rPr>
      </w:pPr>
      <w:r w:rsidRPr="00B435AC">
        <w:rPr>
          <w:rFonts w:ascii="Times" w:hAnsi="Times"/>
          <w:b/>
          <w:caps/>
          <w:sz w:val="28"/>
        </w:rPr>
        <w:t>PROCLAMATION.</w:t>
      </w:r>
    </w:p>
    <w:p w14:paraId="0A8FB4DC" w14:textId="77777777" w:rsidR="00B435AC" w:rsidRPr="00B435AC" w:rsidRDefault="00B435AC" w:rsidP="007D67AD">
      <w:pPr>
        <w:jc w:val="both"/>
        <w:rPr>
          <w:rFonts w:ascii="Times" w:hAnsi="Times"/>
          <w:i/>
        </w:rPr>
      </w:pPr>
      <w:r w:rsidRPr="00B435AC">
        <w:rPr>
          <w:rFonts w:ascii="Times" w:hAnsi="Times"/>
          <w:i/>
        </w:rPr>
        <w:t>Nous, Léger-Félicité SONTHONAX, Commissaire civil de la République, délégué aux Iles Française de l’Amérique sous le vent, pour y établir l’ordre et la tranquillité publique.</w:t>
      </w:r>
    </w:p>
    <w:p w14:paraId="461A0D00" w14:textId="77777777" w:rsidR="00713052" w:rsidRDefault="00B435AC" w:rsidP="007D67AD">
      <w:pPr>
        <w:jc w:val="both"/>
        <w:rPr>
          <w:rFonts w:ascii="Times" w:hAnsi="Times"/>
        </w:rPr>
      </w:pPr>
      <w:r w:rsidRPr="00B435AC">
        <w:rPr>
          <w:rFonts w:ascii="Times" w:hAnsi="Times"/>
          <w:caps/>
        </w:rPr>
        <w:t>Les hommes naissent et demeurent, libres et égaux en droit </w:t>
      </w:r>
      <w:r>
        <w:rPr>
          <w:rFonts w:ascii="Times" w:hAnsi="Times"/>
        </w:rPr>
        <w:t xml:space="preserve">: voilà citoyens, l’évangile de la France ; il est plus que temps qu’il soit proclamé dans tous les départements de la République. </w:t>
      </w:r>
    </w:p>
    <w:p w14:paraId="707191DD" w14:textId="77777777" w:rsidR="007D67AD" w:rsidRDefault="00B435AC" w:rsidP="00713052">
      <w:pPr>
        <w:ind w:firstLine="708"/>
        <w:jc w:val="both"/>
        <w:rPr>
          <w:rFonts w:ascii="Times" w:hAnsi="Times"/>
        </w:rPr>
      </w:pPr>
      <w:r>
        <w:rPr>
          <w:rFonts w:ascii="Times" w:hAnsi="Times"/>
        </w:rPr>
        <w:t>Envoyé par la Nation, en qualité de Commissaires Civils à Saint-Domingue, notre mission était d’y faire exécuter la loi du 4 avril, de la faire régner dans toute sa force, et d’y préparer graduellement, dans déchirement et sans secousse, l’affranchisse</w:t>
      </w:r>
      <w:r w:rsidR="007D67AD">
        <w:rPr>
          <w:rFonts w:ascii="Times" w:hAnsi="Times"/>
        </w:rPr>
        <w:t>ment gén</w:t>
      </w:r>
      <w:r>
        <w:rPr>
          <w:rFonts w:ascii="Times" w:hAnsi="Times"/>
        </w:rPr>
        <w:t>éral des esclaves.</w:t>
      </w:r>
      <w:r w:rsidR="007D67AD">
        <w:rPr>
          <w:rFonts w:ascii="Times" w:hAnsi="Times"/>
        </w:rPr>
        <w:t xml:space="preserve"> (…)</w:t>
      </w:r>
    </w:p>
    <w:p w14:paraId="4FF5B575" w14:textId="77777777" w:rsidR="00713052" w:rsidRDefault="007D67AD" w:rsidP="00713052">
      <w:pPr>
        <w:ind w:firstLine="708"/>
        <w:jc w:val="both"/>
        <w:rPr>
          <w:rFonts w:ascii="Times" w:hAnsi="Times"/>
        </w:rPr>
      </w:pPr>
      <w:r>
        <w:rPr>
          <w:rFonts w:ascii="Times" w:hAnsi="Times"/>
        </w:rPr>
        <w:t>Aujourd’hui les circonstances sont bien changées ; les négriers et les antropophages</w:t>
      </w:r>
      <w:r w:rsidR="00662559">
        <w:rPr>
          <w:rFonts w:ascii="Times" w:hAnsi="Times"/>
        </w:rPr>
        <w:t xml:space="preserve"> (sic)</w:t>
      </w:r>
      <w:r>
        <w:rPr>
          <w:rFonts w:ascii="Times" w:hAnsi="Times"/>
        </w:rPr>
        <w:t xml:space="preserve"> ne sont plus. Les uns ont péri victimes de leur rage impuissante, les autres ont cherché dans le salut la fuite et l’émigration. Ce qui reste de blanc est ami de la loi et des principes français. La majeur partie de la population est formée des hommes du 4 avril, de ces hommes à qui vous devez votre liberté ; qui les premiers, vous ont donné l’exemple du courage à défendre les droits de la nature et de l’humanité ; de ces hommes qui, fiers de leur indépendance, ont préféré la perte de leurs propriétés à la honte de reprendre leurs anciens fers. N’oubliez jamais, citoyens, que vous tenez d’eux les armes qui vous ont conquis votre liberté ; n’oubliez jamais que c’est pour la République française que vous avez combattu : que, de tous les blancs de l’univers, les seuls qui soient vos amis sont les Français d’Europe.</w:t>
      </w:r>
    </w:p>
    <w:p w14:paraId="203F322E" w14:textId="77777777" w:rsidR="00884EC1" w:rsidRDefault="00713052" w:rsidP="00713052">
      <w:pPr>
        <w:ind w:firstLine="708"/>
        <w:jc w:val="both"/>
        <w:rPr>
          <w:rFonts w:ascii="Times" w:hAnsi="Times"/>
        </w:rPr>
      </w:pPr>
      <w:r>
        <w:rPr>
          <w:rFonts w:ascii="Times" w:hAnsi="Times"/>
        </w:rPr>
        <w:t>La République Française veut la liberté et l’égalité entre tous les hommes sans distinction de couleur, les rois ne se plaisent qu’au milieu d’esclaves</w:t>
      </w:r>
      <w:r w:rsidR="00884EC1">
        <w:rPr>
          <w:rFonts w:ascii="Times" w:hAnsi="Times"/>
        </w:rPr>
        <w:t> : ce sont eux qui, sur les côtes africaines, vous ont vendus aux blancs : ce sont les tyrans d’Europe qui voudraient perpétuer cet infâme trafic. La REPUBLIQUE vous adopte au nombre de ses enfants ; les rois n’aspirent qu’à vous couvrir de chaînes ou à vous anéantir. (…)</w:t>
      </w:r>
    </w:p>
    <w:p w14:paraId="3374DF09" w14:textId="77777777" w:rsidR="00E60035" w:rsidRDefault="00884EC1" w:rsidP="00713052">
      <w:pPr>
        <w:ind w:firstLine="708"/>
        <w:jc w:val="both"/>
        <w:rPr>
          <w:rFonts w:ascii="Times" w:hAnsi="Times"/>
        </w:rPr>
      </w:pPr>
      <w:r>
        <w:rPr>
          <w:rFonts w:ascii="Times" w:hAnsi="Times"/>
        </w:rPr>
        <w:t>Ne croyez cependant pas que la liberté dont vous allez jouir, soit un état de paresse et d’oisiveté. En France, tout le monde est libre, et tout le monde travaille ; à Saint-Domingue, soumis aux mêmes lois, vous suivez le même exemple.</w:t>
      </w:r>
      <w:r w:rsidR="00190F8B">
        <w:rPr>
          <w:rFonts w:ascii="Times" w:hAnsi="Times"/>
        </w:rPr>
        <w:t xml:space="preserve"> Rentrez dans vos ateliers</w:t>
      </w:r>
      <w:r w:rsidR="00E60035">
        <w:rPr>
          <w:rFonts w:ascii="Times" w:hAnsi="Times"/>
        </w:rPr>
        <w:t>, ou chez vos anciens propriétaires, vous recevrez le salaire de vos peines ; vous ne serez plus assujettis à la correction humiliante qu’on vous infligeait autrefois ; vous ne serez plus la propriété d’autrui ; vous resterez les maîtres de la vôtre, et vous vivrez heureux.</w:t>
      </w:r>
    </w:p>
    <w:p w14:paraId="259D2B52" w14:textId="77777777" w:rsidR="00662559" w:rsidRDefault="00E60035" w:rsidP="00713052">
      <w:pPr>
        <w:ind w:firstLine="708"/>
        <w:jc w:val="both"/>
        <w:rPr>
          <w:rFonts w:ascii="Times" w:hAnsi="Times"/>
        </w:rPr>
      </w:pPr>
      <w:r>
        <w:rPr>
          <w:rFonts w:ascii="Times" w:hAnsi="Times"/>
        </w:rPr>
        <w:tab/>
        <w:t>Devenus citoyens par la volonté de la Nation Française, vous devrez être aussi zélés observateurs de ses décrets ; vous défendrez, sans doute, les intérêts de la République contre les rois, moins encore par le sentiment d’indépendance, que par reconnaissance pour les bienfaits dont elle vous a comblés. La liberté vous fait passer du néant à l’existence, montrez-vous dignes d’elle : abjurez à jamais l’indolence comme le brigandage : ayez le courage de vouloir être un peuple, et bientôt vous égalerez les nations européennes</w:t>
      </w:r>
      <w:r w:rsidR="00662559">
        <w:rPr>
          <w:rFonts w:ascii="Times" w:hAnsi="Times"/>
        </w:rPr>
        <w:t>.</w:t>
      </w:r>
    </w:p>
    <w:p w14:paraId="1993B478" w14:textId="77777777" w:rsidR="00662559" w:rsidRDefault="00662559" w:rsidP="00713052">
      <w:pPr>
        <w:ind w:firstLine="708"/>
        <w:jc w:val="both"/>
        <w:rPr>
          <w:rFonts w:ascii="Times" w:hAnsi="Times"/>
        </w:rPr>
      </w:pPr>
      <w:r>
        <w:rPr>
          <w:rFonts w:ascii="Times" w:hAnsi="Times"/>
        </w:rPr>
        <w:tab/>
        <w:t>Vos calomniateurs et vos tyrans soutiennent que l’Africain devenu libre ne travaillera plus ; démontrez qu’ils ont tort ; redoublez d’émulation à la vue du prix qui attend ; prouvez à la France, par votre activité, qu’en vous associant à ses intérêts elle a véritablement accru ses ressources et ses moyens. (…)</w:t>
      </w:r>
    </w:p>
    <w:p w14:paraId="527F249A" w14:textId="77777777" w:rsidR="00B37119" w:rsidRDefault="00B37119" w:rsidP="00713052">
      <w:pPr>
        <w:ind w:firstLine="708"/>
        <w:jc w:val="both"/>
        <w:rPr>
          <w:rFonts w:ascii="Times" w:hAnsi="Times"/>
        </w:rPr>
      </w:pPr>
    </w:p>
    <w:p w14:paraId="72AC0CF2" w14:textId="77777777" w:rsidR="00662559" w:rsidRDefault="00662559" w:rsidP="00713052">
      <w:pPr>
        <w:ind w:firstLine="708"/>
        <w:jc w:val="both"/>
        <w:rPr>
          <w:rFonts w:ascii="Times" w:hAnsi="Times"/>
        </w:rPr>
      </w:pPr>
      <w:r>
        <w:rPr>
          <w:rFonts w:ascii="Times" w:hAnsi="Times"/>
        </w:rPr>
        <w:lastRenderedPageBreak/>
        <w:t>ARTICLE PREMIER</w:t>
      </w:r>
    </w:p>
    <w:p w14:paraId="4D799A6C" w14:textId="77777777" w:rsidR="00662559" w:rsidRDefault="00662559" w:rsidP="00713052">
      <w:pPr>
        <w:ind w:firstLine="708"/>
        <w:jc w:val="both"/>
        <w:rPr>
          <w:rFonts w:ascii="Times" w:hAnsi="Times"/>
        </w:rPr>
      </w:pPr>
      <w:r>
        <w:rPr>
          <w:rFonts w:ascii="Times" w:hAnsi="Times"/>
        </w:rPr>
        <w:t>La déclaration des droits de l’homme et du citoyen sera imprimée, publiée et affichée partout où besoin sera, à la diligence des municipalités, dans les villes et bourgs, et des commandans (sic) militaires dans les camps et postes.</w:t>
      </w:r>
    </w:p>
    <w:p w14:paraId="4D25FA79" w14:textId="77777777" w:rsidR="00B37119" w:rsidRDefault="00662559" w:rsidP="00662559">
      <w:pPr>
        <w:jc w:val="both"/>
        <w:rPr>
          <w:rFonts w:ascii="Times" w:hAnsi="Times"/>
        </w:rPr>
      </w:pPr>
      <w:r>
        <w:rPr>
          <w:rFonts w:ascii="Times" w:hAnsi="Times"/>
        </w:rPr>
        <w:t>II. Tous les nègres et sang-mêlés, actuellement dans l’esclavage, sont déclarés libres pour jouir de tous les droits attachés à la qualité de citoyen français ; ils seront cependant assujettis à un régime dont les disposition sont contenus dans les articles suivants.</w:t>
      </w:r>
    </w:p>
    <w:p w14:paraId="4506DA9C" w14:textId="77777777" w:rsidR="00B37119" w:rsidRDefault="00B37119" w:rsidP="00662559">
      <w:pPr>
        <w:jc w:val="both"/>
        <w:rPr>
          <w:rFonts w:ascii="Times" w:hAnsi="Times"/>
        </w:rPr>
      </w:pPr>
      <w:r>
        <w:rPr>
          <w:rFonts w:ascii="Times" w:hAnsi="Times"/>
        </w:rPr>
        <w:t>IX. Les nègres attachés aux habitations de leurs anciens maîtres, seront tenus d’y rester ; ils seront employés à la culture de la terre.</w:t>
      </w:r>
    </w:p>
    <w:p w14:paraId="32FD66AB" w14:textId="77777777" w:rsidR="00B37119" w:rsidRDefault="00B37119" w:rsidP="00662559">
      <w:pPr>
        <w:jc w:val="both"/>
        <w:rPr>
          <w:rFonts w:ascii="Times" w:hAnsi="Times"/>
        </w:rPr>
      </w:pPr>
      <w:r>
        <w:rPr>
          <w:rFonts w:ascii="Times" w:hAnsi="Times"/>
        </w:rPr>
        <w:t>XI. Les ci-devant esclaves cultivateurs seront engagés pour un an, pendant lequel temps ils ne pourront changer d’habitation que sur une permission des juges de paix, dont il sera parlé ci-après, et dans les cas qui seront pas nous déterminés.</w:t>
      </w:r>
    </w:p>
    <w:p w14:paraId="3E587959" w14:textId="77777777" w:rsidR="00B37119" w:rsidRDefault="00B37119" w:rsidP="00662559">
      <w:pPr>
        <w:jc w:val="both"/>
        <w:rPr>
          <w:rFonts w:ascii="Times" w:hAnsi="Times"/>
        </w:rPr>
      </w:pPr>
      <w:r>
        <w:rPr>
          <w:rFonts w:ascii="Times" w:hAnsi="Times"/>
        </w:rPr>
        <w:t>XII. Les revenus de chaque habitation seront partagés en trois portions égales, déductions faite des impositions, lesquelles sont prélevées sur la totalité. Un tiers demeure affecté à la pro</w:t>
      </w:r>
      <w:r w:rsidR="00507ADB">
        <w:rPr>
          <w:rFonts w:ascii="Times" w:hAnsi="Times"/>
        </w:rPr>
        <w:t>priété de la terre</w:t>
      </w:r>
      <w:r>
        <w:rPr>
          <w:rFonts w:ascii="Times" w:hAnsi="Times"/>
        </w:rPr>
        <w:t>, et appartiendra au propriétaire. Il aura la jouissance d’un autre tiers pour les frais de fesance-valoir, le tiers restant sera partagé entre les cultivateur de la manière qui va être fixée.</w:t>
      </w:r>
    </w:p>
    <w:p w14:paraId="63343341" w14:textId="77777777" w:rsidR="00507ADB" w:rsidRDefault="00B37119" w:rsidP="00662559">
      <w:pPr>
        <w:jc w:val="both"/>
        <w:rPr>
          <w:rFonts w:ascii="Times" w:hAnsi="Times"/>
        </w:rPr>
      </w:pPr>
      <w:r>
        <w:rPr>
          <w:rFonts w:ascii="Times" w:hAnsi="Times"/>
        </w:rPr>
        <w:t>XXVII. La correction du fouet est absolument supprimée, elle sera remplacée pour les fautes contre la discipline, par la barre pour un, deux ou trois jours, suivant l’exigence des cas. La plus forte peine sera la perte d’une partie ou de la totalité des salaires ; elle s</w:t>
      </w:r>
      <w:r w:rsidR="00507ADB">
        <w:rPr>
          <w:rFonts w:ascii="Times" w:hAnsi="Times"/>
        </w:rPr>
        <w:t>era prononcée par le juge de pai</w:t>
      </w:r>
      <w:r>
        <w:rPr>
          <w:rFonts w:ascii="Times" w:hAnsi="Times"/>
        </w:rPr>
        <w:t>x et ses assesseurs, la portion de celui ou de ceux qui en seront privés accroîtra au profit de l’atelier.</w:t>
      </w:r>
    </w:p>
    <w:p w14:paraId="649F4257" w14:textId="77777777" w:rsidR="00C907A0" w:rsidRDefault="00507ADB" w:rsidP="00662559">
      <w:pPr>
        <w:jc w:val="both"/>
        <w:rPr>
          <w:rFonts w:ascii="Times" w:hAnsi="Times"/>
        </w:rPr>
      </w:pPr>
      <w:r>
        <w:rPr>
          <w:rFonts w:ascii="Times" w:hAnsi="Times"/>
        </w:rPr>
        <w:t>XXXIII. Les femmes qui n’auront pas de moyen d’existence connu, qui ne seront pas attachées à la culture ou employées au service domestique, dans le délai ci-dessus fixé, qui seraient trouvées errantes, seront également arrêtées et mise en prison.</w:t>
      </w:r>
    </w:p>
    <w:p w14:paraId="4CC0FBDD" w14:textId="77777777" w:rsidR="00AF13D7" w:rsidRDefault="00C907A0" w:rsidP="00662559">
      <w:pPr>
        <w:jc w:val="both"/>
        <w:rPr>
          <w:rFonts w:ascii="Times" w:hAnsi="Times"/>
        </w:rPr>
      </w:pPr>
      <w:r>
        <w:rPr>
          <w:rFonts w:ascii="Times" w:hAnsi="Times"/>
        </w:rPr>
        <w:t>XXXVI. les personnes attachée</w:t>
      </w:r>
      <w:r w:rsidR="00AF13D7">
        <w:rPr>
          <w:rFonts w:ascii="Times" w:hAnsi="Times"/>
        </w:rPr>
        <w:t>s à la culture et les domestiques ne pourront, sous aucun prétexte quitter, sans une permission de la municipalité, la commune où ils résident ; ceux qui contreviendront à cette disposition seront punis de la manière déterminée par l’art. XXVI I.</w:t>
      </w:r>
    </w:p>
    <w:p w14:paraId="228B3B95" w14:textId="77777777" w:rsidR="00B435AC" w:rsidRPr="00B435AC" w:rsidRDefault="00AF13D7" w:rsidP="00662559">
      <w:pPr>
        <w:jc w:val="both"/>
        <w:rPr>
          <w:rFonts w:ascii="Times" w:hAnsi="Times"/>
        </w:rPr>
      </w:pPr>
      <w:r>
        <w:rPr>
          <w:rFonts w:ascii="Times" w:hAnsi="Times"/>
        </w:rPr>
        <w:t>XXXVIII. Le dispositions du &lt;code Noir demeurent provisoirement abrogées. La présente proclamation sera imprimée et affichée partout où besoin sera. (…)</w:t>
      </w:r>
    </w:p>
    <w:p w14:paraId="527984FD" w14:textId="77777777" w:rsidR="00B435AC" w:rsidRDefault="00B435AC">
      <w:pPr>
        <w:rPr>
          <w:rFonts w:ascii="Times" w:hAnsi="Times"/>
        </w:rPr>
      </w:pPr>
    </w:p>
    <w:p w14:paraId="1AEFD127" w14:textId="77777777" w:rsidR="00AF13D7" w:rsidRDefault="00B435AC">
      <w:pPr>
        <w:rPr>
          <w:rFonts w:ascii="Times" w:hAnsi="Times"/>
        </w:rPr>
      </w:pPr>
      <w:r>
        <w:rPr>
          <w:rFonts w:ascii="Times" w:hAnsi="Times"/>
        </w:rPr>
        <w:t>Au Cap, le 29 août, l’an deuxième de la République française.</w:t>
      </w:r>
    </w:p>
    <w:p w14:paraId="7D378694" w14:textId="77777777" w:rsidR="00B435AC" w:rsidRPr="00AF13D7" w:rsidRDefault="00B435AC">
      <w:pPr>
        <w:rPr>
          <w:rFonts w:ascii="Times" w:hAnsi="Times"/>
        </w:rPr>
      </w:pPr>
      <w:r>
        <w:rPr>
          <w:rFonts w:ascii="Times" w:hAnsi="Times"/>
        </w:rPr>
        <w:t>SONTHONAX</w:t>
      </w:r>
    </w:p>
    <w:p w14:paraId="5632CB8F" w14:textId="77777777" w:rsidR="00B435AC" w:rsidRDefault="00B435AC"/>
    <w:p w14:paraId="75B80716" w14:textId="77777777" w:rsidR="00B435AC" w:rsidRDefault="00B435AC"/>
    <w:p w14:paraId="2FF4C48A" w14:textId="77777777" w:rsidR="005E2377" w:rsidRDefault="005E2377" w:rsidP="003A058E">
      <w:pPr>
        <w:pBdr>
          <w:top w:val="single" w:sz="4" w:space="1" w:color="auto"/>
          <w:left w:val="single" w:sz="4" w:space="4" w:color="auto"/>
          <w:bottom w:val="single" w:sz="4" w:space="1" w:color="auto"/>
          <w:right w:val="single" w:sz="4" w:space="4" w:color="auto"/>
        </w:pBdr>
        <w:rPr>
          <w:rFonts w:ascii="Times" w:hAnsi="Times"/>
        </w:rPr>
      </w:pPr>
      <w:r>
        <w:br w:type="page"/>
      </w:r>
      <w:r w:rsidRPr="005E2377">
        <w:rPr>
          <w:rFonts w:ascii="Times" w:hAnsi="Times"/>
        </w:rPr>
        <w:t>Louis Guesde, La Guadeloupe et dépendances, Impression d’art Pierrefont, Paris, 1900.</w:t>
      </w:r>
    </w:p>
    <w:p w14:paraId="5C24AB30" w14:textId="77777777" w:rsidR="003A058E" w:rsidRDefault="005E2377">
      <w:pPr>
        <w:rPr>
          <w:rFonts w:ascii="Times" w:hAnsi="Times"/>
        </w:rPr>
      </w:pPr>
      <w:r>
        <w:rPr>
          <w:rFonts w:ascii="Times" w:hAnsi="Times"/>
          <w:noProof/>
          <w:lang w:eastAsia="fr-FR"/>
        </w:rPr>
        <w:drawing>
          <wp:inline distT="0" distB="0" distL="0" distR="0" wp14:anchorId="3E31565A" wp14:editId="05CAA1BA">
            <wp:extent cx="6113145" cy="3640455"/>
            <wp:effectExtent l="25400" t="0" r="8255" b="0"/>
            <wp:docPr id="1" name="Image 1" descr=":usine d'arboussi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ne d'arboussier.tiff"/>
                    <pic:cNvPicPr>
                      <a:picLocks noChangeAspect="1" noChangeArrowheads="1"/>
                    </pic:cNvPicPr>
                  </pic:nvPicPr>
                  <pic:blipFill>
                    <a:blip r:embed="rId7"/>
                    <a:srcRect/>
                    <a:stretch>
                      <a:fillRect/>
                    </a:stretch>
                  </pic:blipFill>
                  <pic:spPr bwMode="auto">
                    <a:xfrm>
                      <a:off x="0" y="0"/>
                      <a:ext cx="6113145" cy="3640455"/>
                    </a:xfrm>
                    <a:prstGeom prst="rect">
                      <a:avLst/>
                    </a:prstGeom>
                    <a:noFill/>
                    <a:ln w="9525">
                      <a:noFill/>
                      <a:miter lim="800000"/>
                      <a:headEnd/>
                      <a:tailEnd/>
                    </a:ln>
                  </pic:spPr>
                </pic:pic>
              </a:graphicData>
            </a:graphic>
          </wp:inline>
        </w:drawing>
      </w:r>
    </w:p>
    <w:p w14:paraId="05C82E1A" w14:textId="77777777" w:rsidR="003A058E" w:rsidRDefault="003A058E">
      <w:pPr>
        <w:rPr>
          <w:rFonts w:ascii="Times" w:hAnsi="Times"/>
        </w:rPr>
      </w:pPr>
    </w:p>
    <w:p w14:paraId="6B9D50DE" w14:textId="77777777" w:rsidR="003A058E" w:rsidRPr="003A058E" w:rsidRDefault="003A058E">
      <w:pPr>
        <w:rPr>
          <w:rFonts w:ascii="Times" w:hAnsi="Times"/>
          <w:b/>
        </w:rPr>
      </w:pPr>
      <w:r w:rsidRPr="003A058E">
        <w:rPr>
          <w:rFonts w:ascii="Times" w:hAnsi="Times"/>
          <w:b/>
        </w:rPr>
        <w:t>Régime du travail.</w:t>
      </w:r>
    </w:p>
    <w:p w14:paraId="0D34420C" w14:textId="77777777" w:rsidR="003A058E" w:rsidRDefault="003A058E" w:rsidP="003A058E">
      <w:pPr>
        <w:ind w:firstLine="708"/>
        <w:jc w:val="both"/>
        <w:rPr>
          <w:rFonts w:ascii="Times" w:hAnsi="Times"/>
        </w:rPr>
      </w:pPr>
      <w:r>
        <w:rPr>
          <w:rFonts w:ascii="Times" w:hAnsi="Times"/>
        </w:rPr>
        <w:t>L’immigration africaine s’est éteinte depuis longtemps faute de renouvellement ; les quelques africains qui sont encore dans la colonie se sont attachés au sol et ne songent plus à retourner dans leur pays natal.</w:t>
      </w:r>
    </w:p>
    <w:p w14:paraId="28D68154" w14:textId="77777777" w:rsidR="003A058E" w:rsidRDefault="003A058E" w:rsidP="003A058E">
      <w:pPr>
        <w:ind w:firstLine="708"/>
        <w:jc w:val="both"/>
        <w:rPr>
          <w:rFonts w:ascii="Times" w:hAnsi="Times"/>
        </w:rPr>
      </w:pPr>
      <w:r>
        <w:rPr>
          <w:rFonts w:ascii="Times" w:hAnsi="Times"/>
        </w:rPr>
        <w:t>L’immigration indienne s’affaiblit tous les jours par suite du rapatriement annuel des coolies ayant te</w:t>
      </w:r>
      <w:r w:rsidR="00933AD5">
        <w:rPr>
          <w:rFonts w:ascii="Times" w:hAnsi="Times"/>
        </w:rPr>
        <w:t>rminé leur engagement et du refu</w:t>
      </w:r>
      <w:r>
        <w:rPr>
          <w:rFonts w:ascii="Times" w:hAnsi="Times"/>
        </w:rPr>
        <w:t>s de l’Angleterre de la laisser reprendre.</w:t>
      </w:r>
    </w:p>
    <w:p w14:paraId="482C4B7B" w14:textId="77777777" w:rsidR="003A058E" w:rsidRDefault="003A058E" w:rsidP="003A058E">
      <w:pPr>
        <w:ind w:firstLine="708"/>
        <w:jc w:val="both"/>
        <w:rPr>
          <w:rFonts w:ascii="Times" w:hAnsi="Times"/>
        </w:rPr>
      </w:pPr>
      <w:r>
        <w:rPr>
          <w:rFonts w:ascii="Times" w:hAnsi="Times"/>
        </w:rPr>
        <w:t>Des cinq cent Japonais, introduits, il y a cinq ans, il en reste peut-être une dizaine qui sont tous domestiques à Pointe-à-Pitre.</w:t>
      </w:r>
    </w:p>
    <w:p w14:paraId="665890F6" w14:textId="77777777" w:rsidR="00DF06C4" w:rsidRDefault="003A058E" w:rsidP="003A058E">
      <w:pPr>
        <w:ind w:firstLine="708"/>
        <w:jc w:val="both"/>
        <w:rPr>
          <w:rFonts w:ascii="Times" w:hAnsi="Times"/>
        </w:rPr>
      </w:pPr>
      <w:r>
        <w:rPr>
          <w:rFonts w:ascii="Times" w:hAnsi="Times"/>
        </w:rPr>
        <w:t>Le travailleur créole est donc le seul élément de travail qui reste pour les exploitations. Ce travail se fait à la tâche et à la journée. Les îles anglaises voisines envoient à la Guadeloupe un courant continu de travailleurs attachés tant à la culture de la canne qu’à celle du café ; mais ceux-ci ne se fixent pas, ils viennent faire campagne et s’en retournent chez eux pour revenir l’année suivante ou être remplacés par d’autres.</w:t>
      </w:r>
    </w:p>
    <w:p w14:paraId="6EBE210E" w14:textId="77777777" w:rsidR="00DF06C4" w:rsidRDefault="00DF06C4" w:rsidP="003A058E">
      <w:pPr>
        <w:ind w:firstLine="708"/>
        <w:jc w:val="both"/>
        <w:rPr>
          <w:rFonts w:ascii="Times" w:hAnsi="Times"/>
        </w:rPr>
      </w:pPr>
      <w:r>
        <w:rPr>
          <w:rFonts w:ascii="Times" w:hAnsi="Times"/>
        </w:rPr>
        <w:br w:type="page"/>
      </w:r>
    </w:p>
    <w:p w14:paraId="0F070150" w14:textId="77777777" w:rsidR="00FA42C3" w:rsidRDefault="00DF06C4" w:rsidP="00DF06C4">
      <w:pPr>
        <w:pBdr>
          <w:top w:val="single" w:sz="4" w:space="1" w:color="auto"/>
          <w:left w:val="single" w:sz="4" w:space="4" w:color="auto"/>
          <w:bottom w:val="single" w:sz="4" w:space="1" w:color="auto"/>
          <w:right w:val="single" w:sz="4" w:space="4" w:color="auto"/>
        </w:pBdr>
        <w:ind w:firstLine="708"/>
        <w:jc w:val="both"/>
        <w:rPr>
          <w:rFonts w:ascii="Times" w:hAnsi="Times"/>
        </w:rPr>
      </w:pPr>
      <w:r w:rsidRPr="00DF06C4">
        <w:rPr>
          <w:rFonts w:ascii="Times" w:hAnsi="Times"/>
        </w:rPr>
        <w:t>Nombres de travailleurs immigrants en Guadeloupe seconde moitié du XIX</w:t>
      </w:r>
      <w:r w:rsidRPr="00DF06C4">
        <w:rPr>
          <w:rFonts w:ascii="Times" w:hAnsi="Times"/>
          <w:vertAlign w:val="superscript"/>
        </w:rPr>
        <w:t>e</w:t>
      </w:r>
      <w:r w:rsidRPr="00DF06C4">
        <w:rPr>
          <w:rFonts w:ascii="Times" w:hAnsi="Times"/>
        </w:rPr>
        <w:t xml:space="preserve"> siècle d’après N.Schmidt, « les paradoxes du développement industriel (…) », </w:t>
      </w:r>
      <w:r w:rsidRPr="00DF06C4">
        <w:rPr>
          <w:rFonts w:ascii="Times" w:hAnsi="Times"/>
          <w:i/>
          <w:iCs/>
        </w:rPr>
        <w:t>Histoire, économie, et société</w:t>
      </w:r>
      <w:r w:rsidRPr="00DF06C4">
        <w:rPr>
          <w:rFonts w:ascii="Times" w:hAnsi="Times"/>
        </w:rPr>
        <w:t xml:space="preserve">, 1989. </w:t>
      </w:r>
    </w:p>
    <w:p w14:paraId="1ACA0AD8" w14:textId="77777777" w:rsidR="00714E77" w:rsidRDefault="00714E77" w:rsidP="003A058E">
      <w:pPr>
        <w:ind w:firstLine="708"/>
        <w:jc w:val="both"/>
        <w:rPr>
          <w:rFonts w:ascii="Times" w:hAnsi="Times"/>
        </w:rPr>
      </w:pPr>
    </w:p>
    <w:tbl>
      <w:tblPr>
        <w:tblW w:w="8791" w:type="dxa"/>
        <w:tblCellMar>
          <w:left w:w="0" w:type="dxa"/>
          <w:right w:w="0" w:type="dxa"/>
        </w:tblCellMar>
        <w:tblLook w:val="0000" w:firstRow="0" w:lastRow="0" w:firstColumn="0" w:lastColumn="0" w:noHBand="0" w:noVBand="0"/>
      </w:tblPr>
      <w:tblGrid>
        <w:gridCol w:w="4822"/>
        <w:gridCol w:w="3969"/>
      </w:tblGrid>
      <w:tr w:rsidR="00DF06C4" w:rsidRPr="00DF06C4" w14:paraId="60B607FF" w14:textId="77777777">
        <w:trPr>
          <w:trHeight w:val="584"/>
        </w:trPr>
        <w:tc>
          <w:tcPr>
            <w:tcW w:w="48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40EBD76" w14:textId="77777777" w:rsidR="00F11742" w:rsidRPr="00DF06C4" w:rsidRDefault="00DF06C4" w:rsidP="00DF06C4">
            <w:pPr>
              <w:spacing w:after="0"/>
              <w:rPr>
                <w:rFonts w:ascii="Calibri" w:hAnsi="Calibri" w:cs="Times New Roman"/>
                <w:b/>
                <w:bCs/>
                <w:color w:val="FFFFFF"/>
                <w:kern w:val="24"/>
                <w:sz w:val="56"/>
                <w:szCs w:val="56"/>
                <w:lang w:eastAsia="fr-FR"/>
              </w:rPr>
            </w:pPr>
            <w:r w:rsidRPr="00DF06C4">
              <w:rPr>
                <w:rFonts w:ascii="Calibri" w:hAnsi="Calibri" w:cs="Times New Roman"/>
                <w:color w:val="000000"/>
                <w:kern w:val="24"/>
                <w:sz w:val="56"/>
                <w:szCs w:val="56"/>
                <w:lang w:eastAsia="fr-FR"/>
              </w:rPr>
              <w:t>Inde</w:t>
            </w:r>
            <w:r>
              <w:rPr>
                <w:rFonts w:ascii="Calibri" w:hAnsi="Calibri" w:cs="Times New Roman"/>
                <w:color w:val="000000"/>
                <w:kern w:val="24"/>
                <w:sz w:val="56"/>
                <w:szCs w:val="56"/>
                <w:lang w:eastAsia="fr-FR"/>
              </w:rPr>
              <w:t xml:space="preserve">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4872C29" w14:textId="77777777" w:rsidR="00F11742" w:rsidRPr="00DF06C4" w:rsidRDefault="00DF06C4" w:rsidP="00DF06C4">
            <w:pPr>
              <w:spacing w:after="0"/>
              <w:rPr>
                <w:rFonts w:ascii="Calibri" w:hAnsi="Calibri" w:cs="Times New Roman"/>
                <w:b/>
                <w:bCs/>
                <w:color w:val="FFFFFF"/>
                <w:kern w:val="24"/>
                <w:sz w:val="56"/>
                <w:szCs w:val="56"/>
                <w:lang w:eastAsia="fr-FR"/>
              </w:rPr>
            </w:pPr>
            <w:r w:rsidRPr="00DF06C4">
              <w:rPr>
                <w:rFonts w:ascii="Calibri" w:hAnsi="Calibri" w:cs="Times New Roman"/>
                <w:color w:val="000000"/>
                <w:kern w:val="24"/>
                <w:sz w:val="56"/>
                <w:szCs w:val="56"/>
                <w:lang w:eastAsia="fr-FR"/>
              </w:rPr>
              <w:t>42 326</w:t>
            </w:r>
          </w:p>
        </w:tc>
      </w:tr>
      <w:tr w:rsidR="00DF06C4" w:rsidRPr="00DF06C4" w14:paraId="2655752A" w14:textId="77777777">
        <w:trPr>
          <w:trHeight w:val="584"/>
        </w:trPr>
        <w:tc>
          <w:tcPr>
            <w:tcW w:w="48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25D9914" w14:textId="77777777" w:rsidR="00F11742" w:rsidRPr="00DF06C4" w:rsidRDefault="00DF06C4" w:rsidP="00DF06C4">
            <w:pPr>
              <w:spacing w:after="0"/>
              <w:rPr>
                <w:rFonts w:ascii="Calibri" w:hAnsi="Calibri" w:cs="Times New Roman"/>
                <w:color w:val="000000"/>
                <w:kern w:val="24"/>
                <w:sz w:val="56"/>
                <w:szCs w:val="56"/>
                <w:lang w:eastAsia="fr-FR"/>
              </w:rPr>
            </w:pPr>
            <w:r w:rsidRPr="00DF06C4">
              <w:rPr>
                <w:rFonts w:ascii="Calibri" w:hAnsi="Calibri" w:cs="Times New Roman"/>
                <w:color w:val="000000"/>
                <w:kern w:val="24"/>
                <w:sz w:val="56"/>
                <w:szCs w:val="56"/>
                <w:lang w:eastAsia="fr-FR"/>
              </w:rPr>
              <w:t>Afrique</w:t>
            </w:r>
            <w:r>
              <w:rPr>
                <w:rFonts w:ascii="Calibri" w:hAnsi="Calibri" w:cs="Times New Roman"/>
                <w:color w:val="000000"/>
                <w:kern w:val="24"/>
                <w:sz w:val="56"/>
                <w:szCs w:val="56"/>
                <w:lang w:eastAsia="fr-FR"/>
              </w:rPr>
              <w:t xml:space="preserve">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BC66D22" w14:textId="77777777" w:rsidR="00F11742" w:rsidRPr="00DF06C4" w:rsidRDefault="00DF06C4" w:rsidP="00DF06C4">
            <w:pPr>
              <w:spacing w:after="0"/>
              <w:rPr>
                <w:rFonts w:ascii="Calibri" w:hAnsi="Calibri" w:cs="Times New Roman"/>
                <w:color w:val="000000"/>
                <w:kern w:val="24"/>
                <w:sz w:val="56"/>
                <w:szCs w:val="56"/>
                <w:lang w:eastAsia="fr-FR"/>
              </w:rPr>
            </w:pPr>
            <w:r w:rsidRPr="00DF06C4">
              <w:rPr>
                <w:rFonts w:ascii="Calibri" w:hAnsi="Calibri" w:cs="Times New Roman"/>
                <w:color w:val="000000"/>
                <w:kern w:val="24"/>
                <w:sz w:val="56"/>
                <w:szCs w:val="56"/>
                <w:lang w:eastAsia="fr-FR"/>
              </w:rPr>
              <w:t>5915</w:t>
            </w:r>
          </w:p>
        </w:tc>
      </w:tr>
      <w:tr w:rsidR="00DF06C4" w:rsidRPr="00DF06C4" w14:paraId="26561FF2" w14:textId="77777777">
        <w:trPr>
          <w:trHeight w:val="584"/>
        </w:trPr>
        <w:tc>
          <w:tcPr>
            <w:tcW w:w="4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77C8E7F" w14:textId="77777777" w:rsidR="00F11742" w:rsidRPr="00DF06C4" w:rsidRDefault="00DF06C4" w:rsidP="00DF06C4">
            <w:pPr>
              <w:spacing w:after="0"/>
              <w:rPr>
                <w:rFonts w:ascii="Calibri" w:hAnsi="Calibri" w:cs="Times New Roman"/>
                <w:kern w:val="24"/>
                <w:sz w:val="56"/>
                <w:szCs w:val="56"/>
                <w:lang w:eastAsia="fr-FR"/>
              </w:rPr>
            </w:pPr>
            <w:r w:rsidRPr="00DF06C4">
              <w:rPr>
                <w:rFonts w:ascii="Calibri" w:hAnsi="Calibri" w:cs="Times New Roman"/>
                <w:bCs/>
                <w:kern w:val="24"/>
                <w:sz w:val="56"/>
                <w:szCs w:val="56"/>
                <w:lang w:eastAsia="fr-FR"/>
              </w:rPr>
              <w:t>Iles des</w:t>
            </w:r>
            <w:r w:rsidRPr="00DF06C4">
              <w:rPr>
                <w:rFonts w:ascii="Calibri" w:hAnsi="Calibri" w:cs="Times New Roman"/>
                <w:bCs/>
                <w:kern w:val="24"/>
                <w:position w:val="1"/>
                <w:sz w:val="56"/>
                <w:szCs w:val="56"/>
                <w:lang w:eastAsia="fr-FR"/>
              </w:rPr>
              <w:t xml:space="preserve"> Caraïbes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073677E" w14:textId="77777777" w:rsidR="00F11742" w:rsidRPr="00DF06C4" w:rsidRDefault="00DF06C4" w:rsidP="00DF06C4">
            <w:pPr>
              <w:spacing w:after="0"/>
              <w:rPr>
                <w:rFonts w:ascii="Calibri" w:hAnsi="Calibri" w:cs="Times New Roman"/>
                <w:kern w:val="24"/>
                <w:sz w:val="56"/>
                <w:szCs w:val="56"/>
                <w:lang w:eastAsia="fr-FR"/>
              </w:rPr>
            </w:pPr>
            <w:r w:rsidRPr="00DF06C4">
              <w:rPr>
                <w:rFonts w:ascii="Calibri" w:hAnsi="Calibri" w:cs="Times New Roman"/>
                <w:bCs/>
                <w:kern w:val="24"/>
                <w:sz w:val="56"/>
                <w:szCs w:val="56"/>
                <w:lang w:eastAsia="fr-FR"/>
              </w:rPr>
              <w:t>5500</w:t>
            </w:r>
          </w:p>
        </w:tc>
      </w:tr>
    </w:tbl>
    <w:p w14:paraId="51145237" w14:textId="77777777" w:rsidR="00DF06C4" w:rsidRDefault="00DF06C4" w:rsidP="003A058E">
      <w:pPr>
        <w:ind w:firstLine="708"/>
        <w:jc w:val="both"/>
        <w:rPr>
          <w:rFonts w:ascii="Times" w:hAnsi="Times"/>
        </w:rPr>
      </w:pPr>
    </w:p>
    <w:p w14:paraId="13A2F6E1" w14:textId="77777777" w:rsidR="00DF06C4" w:rsidRDefault="00DF06C4" w:rsidP="003A058E">
      <w:pPr>
        <w:ind w:firstLine="708"/>
        <w:jc w:val="both"/>
        <w:rPr>
          <w:rFonts w:ascii="Times" w:hAnsi="Times"/>
        </w:rPr>
      </w:pPr>
    </w:p>
    <w:p w14:paraId="6DE5C29E" w14:textId="77777777" w:rsidR="00714E77" w:rsidRDefault="00714E77" w:rsidP="002522E3">
      <w:pPr>
        <w:jc w:val="both"/>
        <w:rPr>
          <w:rFonts w:ascii="Times" w:hAnsi="Times"/>
        </w:rPr>
      </w:pPr>
    </w:p>
    <w:p w14:paraId="22682009" w14:textId="77777777" w:rsidR="00714E77" w:rsidRDefault="00714E77" w:rsidP="00DF06C4">
      <w:pPr>
        <w:jc w:val="both"/>
        <w:rPr>
          <w:rFonts w:ascii="Times" w:hAnsi="Times"/>
        </w:rPr>
      </w:pPr>
    </w:p>
    <w:p w14:paraId="0FA1BDD5" w14:textId="77777777" w:rsidR="00714E77" w:rsidRDefault="00714E77" w:rsidP="00714E77">
      <w:pPr>
        <w:pBdr>
          <w:top w:val="single" w:sz="4" w:space="1" w:color="auto"/>
          <w:left w:val="single" w:sz="4" w:space="4" w:color="auto"/>
          <w:bottom w:val="single" w:sz="4" w:space="1" w:color="auto"/>
          <w:right w:val="single" w:sz="4" w:space="4" w:color="auto"/>
        </w:pBdr>
        <w:jc w:val="both"/>
        <w:rPr>
          <w:rFonts w:ascii="Times" w:hAnsi="Times"/>
        </w:rPr>
      </w:pPr>
      <w:r>
        <w:rPr>
          <w:rFonts w:ascii="Times" w:hAnsi="Times"/>
        </w:rPr>
        <w:t xml:space="preserve">Christian Schnakenbourg, </w:t>
      </w:r>
      <w:r w:rsidRPr="00714E77">
        <w:rPr>
          <w:rFonts w:ascii="Times" w:hAnsi="Times"/>
          <w:i/>
        </w:rPr>
        <w:t>La compagnie sucrière de la Pointe-à-Pitre</w:t>
      </w:r>
      <w:r>
        <w:rPr>
          <w:rFonts w:ascii="Times" w:hAnsi="Times"/>
        </w:rPr>
        <w:t>, l’Harmattan, Paris, 1997.</w:t>
      </w:r>
    </w:p>
    <w:p w14:paraId="4AFC4F92" w14:textId="77777777" w:rsidR="00423F95" w:rsidRDefault="00FA42C3" w:rsidP="003A058E">
      <w:pPr>
        <w:ind w:firstLine="708"/>
        <w:jc w:val="both"/>
        <w:rPr>
          <w:rFonts w:ascii="Times" w:hAnsi="Times"/>
        </w:rPr>
      </w:pPr>
      <w:r w:rsidRPr="00FA42C3">
        <w:rPr>
          <w:rFonts w:ascii="Times" w:hAnsi="Times"/>
        </w:rPr>
        <w:t>Nous sommes très mal renseigné sur le personnel de la fabrication. Le nombre d’ouvrier à Darboussier au moment de sa création est inconnu. Par la suite, les chiffres sont extrêmement rares, incomplets, contradictoires, difficiles à interpréter. Cela tient en partie au caractère saisonnier très prononcé de l’activité  dans la sucrerie de canne. Pendant la campagne de fabrication, de la s</w:t>
      </w:r>
      <w:r w:rsidR="00815CBC">
        <w:rPr>
          <w:rFonts w:ascii="Times" w:hAnsi="Times"/>
        </w:rPr>
        <w:t>econde quinzaine de j</w:t>
      </w:r>
      <w:r>
        <w:rPr>
          <w:rFonts w:ascii="Times" w:hAnsi="Times"/>
        </w:rPr>
        <w:t>anvier à la fin du mois de juin ou au début de juillet, les usines travaillent en continu, à raison de six jours par semaine et deux « quart</w:t>
      </w:r>
      <w:r w:rsidR="00815CBC">
        <w:rPr>
          <w:rFonts w:ascii="Times" w:hAnsi="Times"/>
        </w:rPr>
        <w:t>s</w:t>
      </w:r>
      <w:r>
        <w:rPr>
          <w:rFonts w:ascii="Times" w:hAnsi="Times"/>
        </w:rPr>
        <w:t xml:space="preserve"> » de douze heures (à 6 et 18 heures) par jour ; elles ne s’arrêtent que le dimanche, pour le nettoyage et les gros travaux d’entretien. Pendant l’interrécolte, au contraire l’emploi diminue fortement. (…) Darboussier emploierait 475 ouvriers par « 24 heures ». En 1900 (…) plus  600 ouvriers de toutes conditions y sont employés en temps de récolte. Mais quelques années plus tard, </w:t>
      </w:r>
      <w:r w:rsidR="00714E77">
        <w:rPr>
          <w:rFonts w:ascii="Times" w:hAnsi="Times"/>
        </w:rPr>
        <w:t>un expert métropolitain énumère très précisément tous les emplois industriels de Darboussier, en y incluant ceux du chemin de fer et des chalands mais non les surveillants et chefs de fabrication ni le personnel de la Distillerie pour arriver à un total de 400 personnes « pour le poste de jour » ; compte-tenu du fait que le transport de la canne et la plupart des travaux d’entretien et de réparation sont interrompus la nuit (…) on arriverait à un total approximatif de 670 ouvriers par 24 heures.</w:t>
      </w:r>
    </w:p>
    <w:p w14:paraId="4C8580E9" w14:textId="77777777" w:rsidR="00A46B1D" w:rsidRDefault="00A46B1D" w:rsidP="003A058E">
      <w:pPr>
        <w:ind w:firstLine="708"/>
        <w:jc w:val="both"/>
        <w:rPr>
          <w:rFonts w:ascii="Times" w:hAnsi="Times"/>
        </w:rPr>
      </w:pPr>
    </w:p>
    <w:p w14:paraId="38AF4190" w14:textId="77777777" w:rsidR="00A46B1D" w:rsidRDefault="00A46B1D" w:rsidP="003A058E">
      <w:pPr>
        <w:ind w:firstLine="708"/>
        <w:jc w:val="both"/>
        <w:rPr>
          <w:rFonts w:ascii="Times" w:hAnsi="Times"/>
        </w:rPr>
      </w:pPr>
    </w:p>
    <w:p w14:paraId="3672FFC3" w14:textId="77777777" w:rsidR="00A46B1D" w:rsidRDefault="00A46B1D" w:rsidP="003A058E">
      <w:pPr>
        <w:ind w:firstLine="708"/>
        <w:jc w:val="both"/>
        <w:rPr>
          <w:rFonts w:ascii="Times" w:hAnsi="Times"/>
        </w:rPr>
      </w:pPr>
    </w:p>
    <w:p w14:paraId="74CABC7F" w14:textId="77777777" w:rsidR="00A46B1D" w:rsidRDefault="00A46B1D" w:rsidP="003A058E">
      <w:pPr>
        <w:ind w:firstLine="708"/>
        <w:jc w:val="both"/>
        <w:rPr>
          <w:rFonts w:ascii="Times" w:hAnsi="Times"/>
        </w:rPr>
      </w:pPr>
    </w:p>
    <w:p w14:paraId="20AE3A1E" w14:textId="77777777" w:rsidR="00423F95" w:rsidRDefault="00423F95" w:rsidP="003A058E">
      <w:pPr>
        <w:ind w:firstLine="708"/>
        <w:jc w:val="both"/>
        <w:rPr>
          <w:rFonts w:ascii="Times" w:hAnsi="Times"/>
        </w:rPr>
      </w:pPr>
    </w:p>
    <w:p w14:paraId="56F84C9D" w14:textId="77777777" w:rsidR="00423F95" w:rsidRDefault="00423F95" w:rsidP="002522E3">
      <w:pPr>
        <w:jc w:val="both"/>
        <w:rPr>
          <w:rFonts w:ascii="Times" w:hAnsi="Times"/>
        </w:rPr>
      </w:pPr>
    </w:p>
    <w:p w14:paraId="0EA01A53" w14:textId="77777777" w:rsidR="00714E77" w:rsidRDefault="00423F95" w:rsidP="00423F95">
      <w:pPr>
        <w:pBdr>
          <w:top w:val="single" w:sz="4" w:space="1" w:color="auto"/>
          <w:left w:val="single" w:sz="4" w:space="4" w:color="auto"/>
          <w:bottom w:val="single" w:sz="4" w:space="1" w:color="auto"/>
          <w:right w:val="single" w:sz="4" w:space="4" w:color="auto"/>
        </w:pBdr>
        <w:jc w:val="both"/>
        <w:rPr>
          <w:rFonts w:ascii="Times" w:hAnsi="Times"/>
        </w:rPr>
      </w:pPr>
      <w:r>
        <w:rPr>
          <w:rFonts w:ascii="Times" w:hAnsi="Times"/>
        </w:rPr>
        <w:t xml:space="preserve">Carte des usines de la Guadeloupe par Christian Schnakenbourg, </w:t>
      </w:r>
      <w:r w:rsidRPr="00423F95">
        <w:rPr>
          <w:rFonts w:ascii="Times" w:hAnsi="Times"/>
          <w:i/>
        </w:rPr>
        <w:t>Histoire de l’industrie sucrière en Guadeloupe au XIXe XIXe siècle</w:t>
      </w:r>
      <w:r>
        <w:rPr>
          <w:rFonts w:ascii="Times" w:hAnsi="Times"/>
        </w:rPr>
        <w:t>, tome II, Paris, l’Harmattan, 2007.</w:t>
      </w:r>
    </w:p>
    <w:p w14:paraId="2F1E9C39" w14:textId="77777777" w:rsidR="00EC3C04" w:rsidRDefault="00423F95" w:rsidP="003A058E">
      <w:pPr>
        <w:ind w:firstLine="708"/>
        <w:jc w:val="both"/>
        <w:rPr>
          <w:rFonts w:ascii="Times" w:hAnsi="Times"/>
        </w:rPr>
      </w:pPr>
      <w:r>
        <w:rPr>
          <w:rFonts w:ascii="Times" w:hAnsi="Times"/>
          <w:noProof/>
          <w:lang w:eastAsia="fr-FR"/>
        </w:rPr>
        <w:drawing>
          <wp:inline distT="0" distB="0" distL="0" distR="0" wp14:anchorId="49AB06AE" wp14:editId="412C1E32">
            <wp:extent cx="4233545" cy="4326255"/>
            <wp:effectExtent l="25400" t="0" r="8255" b="0"/>
            <wp:docPr id="2" name="Image 1" descr=":sc000f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000f5268.jpg"/>
                    <pic:cNvPicPr>
                      <a:picLocks noChangeAspect="1" noChangeArrowheads="1"/>
                    </pic:cNvPicPr>
                  </pic:nvPicPr>
                  <pic:blipFill>
                    <a:blip r:embed="rId8"/>
                    <a:srcRect/>
                    <a:stretch>
                      <a:fillRect/>
                    </a:stretch>
                  </pic:blipFill>
                  <pic:spPr bwMode="auto">
                    <a:xfrm>
                      <a:off x="0" y="0"/>
                      <a:ext cx="4233545" cy="4326255"/>
                    </a:xfrm>
                    <a:prstGeom prst="rect">
                      <a:avLst/>
                    </a:prstGeom>
                    <a:noFill/>
                    <a:ln w="9525">
                      <a:noFill/>
                      <a:miter lim="800000"/>
                      <a:headEnd/>
                      <a:tailEnd/>
                    </a:ln>
                  </pic:spPr>
                </pic:pic>
              </a:graphicData>
            </a:graphic>
          </wp:inline>
        </w:drawing>
      </w:r>
      <w:bookmarkStart w:id="0" w:name="_GoBack"/>
      <w:bookmarkEnd w:id="0"/>
    </w:p>
    <w:p w14:paraId="445C07C8" w14:textId="77777777" w:rsidR="00EC3C04" w:rsidRPr="005E2377" w:rsidRDefault="00DF06C4" w:rsidP="00EC3C04">
      <w:pPr>
        <w:pBdr>
          <w:top w:val="single" w:sz="4" w:space="1" w:color="auto"/>
          <w:left w:val="single" w:sz="4" w:space="4" w:color="auto"/>
          <w:bottom w:val="single" w:sz="4" w:space="1" w:color="auto"/>
          <w:right w:val="single" w:sz="4" w:space="4" w:color="auto"/>
        </w:pBdr>
        <w:ind w:firstLine="708"/>
        <w:jc w:val="both"/>
        <w:rPr>
          <w:rFonts w:ascii="Times" w:hAnsi="Times"/>
        </w:rPr>
      </w:pPr>
      <w:r>
        <w:rPr>
          <w:rFonts w:ascii="Times" w:hAnsi="Times"/>
        </w:rPr>
        <w:br w:type="page"/>
      </w:r>
      <w:r w:rsidR="00EC3C04">
        <w:rPr>
          <w:rFonts w:ascii="Times" w:hAnsi="Times"/>
        </w:rPr>
        <w:t>Cartes postales</w:t>
      </w:r>
    </w:p>
    <w:p w14:paraId="19A34BAA" w14:textId="77777777" w:rsidR="00EC3C04" w:rsidRPr="00EC3C04" w:rsidRDefault="00EC3C04" w:rsidP="00EC3C04">
      <w:pPr>
        <w:rPr>
          <w:rFonts w:ascii="Times" w:hAnsi="Times"/>
        </w:rPr>
      </w:pPr>
    </w:p>
    <w:p w14:paraId="289A8197" w14:textId="77777777" w:rsidR="00EC3C04" w:rsidRDefault="00EC3C04" w:rsidP="00EC3C04">
      <w:pPr>
        <w:tabs>
          <w:tab w:val="left" w:pos="2667"/>
        </w:tabs>
        <w:rPr>
          <w:rFonts w:ascii="Times" w:hAnsi="Times"/>
        </w:rPr>
      </w:pPr>
      <w:r w:rsidRPr="00EC3C04">
        <w:rPr>
          <w:rFonts w:ascii="Times" w:hAnsi="Times"/>
          <w:noProof/>
          <w:lang w:eastAsia="fr-FR"/>
        </w:rPr>
        <w:drawing>
          <wp:inline distT="0" distB="0" distL="0" distR="0" wp14:anchorId="548F4DF6" wp14:editId="18AEC27E">
            <wp:extent cx="5972810" cy="3284855"/>
            <wp:effectExtent l="0" t="0" r="0" b="0"/>
            <wp:docPr id="3" name="I 1" descr="509_001.jpg"/>
            <wp:cNvGraphicFramePr/>
            <a:graphic xmlns:a="http://schemas.openxmlformats.org/drawingml/2006/main">
              <a:graphicData uri="http://schemas.openxmlformats.org/drawingml/2006/picture">
                <pic:pic xmlns:pic="http://schemas.openxmlformats.org/drawingml/2006/picture">
                  <pic:nvPicPr>
                    <pic:cNvPr id="0" name="Espace réservé du contenu 5" descr="509_001.jpg"/>
                    <pic:cNvPicPr>
                      <a:picLocks noGrp="1" noChangeAspect="1"/>
                    </pic:cNvPicPr>
                  </pic:nvPicPr>
                  <pic:blipFill>
                    <a:blip r:embed="rId9"/>
                    <a:srcRect l="-11251" r="-11251"/>
                    <a:stretch>
                      <a:fillRect/>
                    </a:stretch>
                  </pic:blipFill>
                  <pic:spPr>
                    <a:xfrm>
                      <a:off x="0" y="0"/>
                      <a:ext cx="5972810" cy="3284855"/>
                    </a:xfrm>
                    <a:prstGeom prst="rect">
                      <a:avLst/>
                    </a:prstGeom>
                  </pic:spPr>
                </pic:pic>
              </a:graphicData>
            </a:graphic>
          </wp:inline>
        </w:drawing>
      </w:r>
    </w:p>
    <w:p w14:paraId="4A6A469C" w14:textId="77777777" w:rsidR="00EC3C04" w:rsidRDefault="00EC3C04" w:rsidP="00EC3C04">
      <w:pPr>
        <w:tabs>
          <w:tab w:val="left" w:pos="2667"/>
        </w:tabs>
        <w:rPr>
          <w:rFonts w:ascii="Times" w:hAnsi="Times"/>
        </w:rPr>
      </w:pPr>
    </w:p>
    <w:p w14:paraId="6A23B6D2" w14:textId="77777777" w:rsidR="00EC3C04" w:rsidRDefault="00EC3C04" w:rsidP="00EC3C04">
      <w:pPr>
        <w:tabs>
          <w:tab w:val="left" w:pos="2667"/>
        </w:tabs>
        <w:rPr>
          <w:rFonts w:ascii="Times" w:hAnsi="Times"/>
        </w:rPr>
      </w:pPr>
      <w:r w:rsidRPr="00EC3C04">
        <w:rPr>
          <w:rFonts w:ascii="Times" w:hAnsi="Times"/>
          <w:noProof/>
          <w:lang w:eastAsia="fr-FR"/>
        </w:rPr>
        <w:drawing>
          <wp:inline distT="0" distB="0" distL="0" distR="0" wp14:anchorId="03681360" wp14:editId="4ABBF4CF">
            <wp:extent cx="5972810" cy="3284220"/>
            <wp:effectExtent l="0" t="0" r="0" b="0"/>
            <wp:docPr id="4" name="I 2" descr="beauport-archive03.jpg"/>
            <wp:cNvGraphicFramePr/>
            <a:graphic xmlns:a="http://schemas.openxmlformats.org/drawingml/2006/main">
              <a:graphicData uri="http://schemas.openxmlformats.org/drawingml/2006/picture">
                <pic:pic xmlns:pic="http://schemas.openxmlformats.org/drawingml/2006/picture">
                  <pic:nvPicPr>
                    <pic:cNvPr id="0" name="Espace réservé du contenu 3" descr="beauport-archive03.jpg"/>
                    <pic:cNvPicPr>
                      <a:picLocks noGrp="1" noChangeAspect="1"/>
                    </pic:cNvPicPr>
                  </pic:nvPicPr>
                  <pic:blipFill>
                    <a:blip r:embed="rId10"/>
                    <a:srcRect l="-10610" r="-10610"/>
                    <a:stretch>
                      <a:fillRect/>
                    </a:stretch>
                  </pic:blipFill>
                  <pic:spPr>
                    <a:xfrm>
                      <a:off x="0" y="0"/>
                      <a:ext cx="5972810" cy="3284220"/>
                    </a:xfrm>
                    <a:prstGeom prst="rect">
                      <a:avLst/>
                    </a:prstGeom>
                  </pic:spPr>
                </pic:pic>
              </a:graphicData>
            </a:graphic>
          </wp:inline>
        </w:drawing>
      </w:r>
    </w:p>
    <w:p w14:paraId="7729828F" w14:textId="77777777" w:rsidR="00586A58" w:rsidRDefault="00EC3C04" w:rsidP="00EC3C04">
      <w:pPr>
        <w:tabs>
          <w:tab w:val="left" w:pos="2667"/>
        </w:tabs>
        <w:rPr>
          <w:rFonts w:ascii="Times" w:hAnsi="Times"/>
        </w:rPr>
      </w:pPr>
      <w:r>
        <w:rPr>
          <w:rFonts w:ascii="Times" w:hAnsi="Times"/>
        </w:rPr>
        <w:br w:type="page"/>
      </w:r>
      <w:r w:rsidRPr="00EC3C04">
        <w:rPr>
          <w:rFonts w:ascii="Times" w:hAnsi="Times"/>
          <w:noProof/>
          <w:lang w:eastAsia="fr-FR"/>
        </w:rPr>
        <w:drawing>
          <wp:inline distT="0" distB="0" distL="0" distR="0" wp14:anchorId="27AB861D" wp14:editId="7A44C300">
            <wp:extent cx="5972810" cy="4210050"/>
            <wp:effectExtent l="25400" t="0" r="0" b="0"/>
            <wp:docPr id="5" name="I 3" descr="777_001.jpg"/>
            <wp:cNvGraphicFramePr/>
            <a:graphic xmlns:a="http://schemas.openxmlformats.org/drawingml/2006/main">
              <a:graphicData uri="http://schemas.openxmlformats.org/drawingml/2006/picture">
                <pic:pic xmlns:pic="http://schemas.openxmlformats.org/drawingml/2006/picture">
                  <pic:nvPicPr>
                    <pic:cNvPr id="0" name="Image 1" descr="777_001.jpg"/>
                    <pic:cNvPicPr>
                      <a:picLocks noChangeAspect="1"/>
                    </pic:cNvPicPr>
                  </pic:nvPicPr>
                  <pic:blipFill>
                    <a:blip r:embed="rId11"/>
                    <a:stretch>
                      <a:fillRect/>
                    </a:stretch>
                  </pic:blipFill>
                  <pic:spPr>
                    <a:xfrm>
                      <a:off x="0" y="0"/>
                      <a:ext cx="5972810" cy="4210050"/>
                    </a:xfrm>
                    <a:prstGeom prst="rect">
                      <a:avLst/>
                    </a:prstGeom>
                  </pic:spPr>
                </pic:pic>
              </a:graphicData>
            </a:graphic>
          </wp:inline>
        </w:drawing>
      </w:r>
    </w:p>
    <w:p w14:paraId="0E8293D9" w14:textId="77777777" w:rsidR="00A46B1D" w:rsidRDefault="00A46B1D" w:rsidP="00EC3C04">
      <w:pPr>
        <w:tabs>
          <w:tab w:val="left" w:pos="2667"/>
        </w:tabs>
        <w:rPr>
          <w:rFonts w:ascii="Times" w:hAnsi="Times"/>
        </w:rPr>
      </w:pPr>
    </w:p>
    <w:p w14:paraId="426EB4E3" w14:textId="77777777" w:rsidR="00A46B1D" w:rsidRDefault="00A46B1D" w:rsidP="00EC3C04">
      <w:pPr>
        <w:tabs>
          <w:tab w:val="left" w:pos="2667"/>
        </w:tabs>
        <w:rPr>
          <w:rFonts w:ascii="Times" w:hAnsi="Times"/>
        </w:rPr>
      </w:pPr>
    </w:p>
    <w:p w14:paraId="2C1E4620" w14:textId="77777777" w:rsidR="00A46B1D" w:rsidRDefault="00A46B1D" w:rsidP="00EC3C04">
      <w:pPr>
        <w:tabs>
          <w:tab w:val="left" w:pos="2667"/>
        </w:tabs>
        <w:rPr>
          <w:rFonts w:ascii="Times" w:hAnsi="Times"/>
        </w:rPr>
      </w:pPr>
    </w:p>
    <w:p w14:paraId="2075156A" w14:textId="77777777" w:rsidR="00A46B1D" w:rsidRDefault="00A46B1D" w:rsidP="00EC3C04">
      <w:pPr>
        <w:tabs>
          <w:tab w:val="left" w:pos="2667"/>
        </w:tabs>
        <w:rPr>
          <w:rFonts w:ascii="Times" w:hAnsi="Times"/>
        </w:rPr>
      </w:pPr>
    </w:p>
    <w:p w14:paraId="46C34A8A" w14:textId="77777777" w:rsidR="00A46B1D" w:rsidRDefault="00A46B1D" w:rsidP="00EC3C04">
      <w:pPr>
        <w:tabs>
          <w:tab w:val="left" w:pos="2667"/>
        </w:tabs>
        <w:rPr>
          <w:rFonts w:ascii="Times" w:hAnsi="Times"/>
        </w:rPr>
      </w:pPr>
    </w:p>
    <w:p w14:paraId="4D0F7177" w14:textId="77777777" w:rsidR="00A46B1D" w:rsidRDefault="00A46B1D" w:rsidP="00EC3C04">
      <w:pPr>
        <w:tabs>
          <w:tab w:val="left" w:pos="2667"/>
        </w:tabs>
        <w:rPr>
          <w:rFonts w:ascii="Times" w:hAnsi="Times"/>
        </w:rPr>
      </w:pPr>
    </w:p>
    <w:p w14:paraId="6480BA32" w14:textId="77777777" w:rsidR="00A46B1D" w:rsidRDefault="00A46B1D" w:rsidP="00EC3C04">
      <w:pPr>
        <w:tabs>
          <w:tab w:val="left" w:pos="2667"/>
        </w:tabs>
        <w:rPr>
          <w:rFonts w:ascii="Times" w:hAnsi="Times"/>
        </w:rPr>
      </w:pPr>
    </w:p>
    <w:p w14:paraId="3973F372" w14:textId="77777777" w:rsidR="00A46B1D" w:rsidRDefault="00A46B1D" w:rsidP="00EC3C04">
      <w:pPr>
        <w:tabs>
          <w:tab w:val="left" w:pos="2667"/>
        </w:tabs>
        <w:rPr>
          <w:rFonts w:ascii="Times" w:hAnsi="Times"/>
        </w:rPr>
      </w:pPr>
    </w:p>
    <w:p w14:paraId="304F29BE" w14:textId="77777777" w:rsidR="00A46B1D" w:rsidRDefault="00A46B1D" w:rsidP="00EC3C04">
      <w:pPr>
        <w:tabs>
          <w:tab w:val="left" w:pos="2667"/>
        </w:tabs>
        <w:rPr>
          <w:rFonts w:ascii="Times" w:hAnsi="Times"/>
        </w:rPr>
      </w:pPr>
    </w:p>
    <w:p w14:paraId="680122E1" w14:textId="77777777" w:rsidR="00A46B1D" w:rsidRDefault="00A46B1D" w:rsidP="00EC3C04">
      <w:pPr>
        <w:tabs>
          <w:tab w:val="left" w:pos="2667"/>
        </w:tabs>
        <w:rPr>
          <w:rFonts w:ascii="Times" w:hAnsi="Times"/>
        </w:rPr>
      </w:pPr>
    </w:p>
    <w:p w14:paraId="0EA40F2C" w14:textId="77777777" w:rsidR="00A46B1D" w:rsidRDefault="00A46B1D" w:rsidP="00EC3C04">
      <w:pPr>
        <w:tabs>
          <w:tab w:val="left" w:pos="2667"/>
        </w:tabs>
        <w:rPr>
          <w:rFonts w:ascii="Times" w:hAnsi="Times"/>
        </w:rPr>
      </w:pPr>
    </w:p>
    <w:p w14:paraId="46E6C102" w14:textId="77777777" w:rsidR="00A46B1D" w:rsidRDefault="00A46B1D" w:rsidP="00EC3C04">
      <w:pPr>
        <w:tabs>
          <w:tab w:val="left" w:pos="2667"/>
        </w:tabs>
        <w:rPr>
          <w:rFonts w:ascii="Times" w:hAnsi="Times"/>
        </w:rPr>
      </w:pPr>
    </w:p>
    <w:p w14:paraId="1D874225" w14:textId="77777777" w:rsidR="00A46B1D" w:rsidRDefault="00A46B1D" w:rsidP="00EC3C04">
      <w:pPr>
        <w:tabs>
          <w:tab w:val="left" w:pos="2667"/>
        </w:tabs>
        <w:rPr>
          <w:rFonts w:ascii="Times" w:hAnsi="Times"/>
        </w:rPr>
      </w:pPr>
    </w:p>
    <w:p w14:paraId="690145CD" w14:textId="77777777" w:rsidR="00A46B1D" w:rsidRDefault="00A46B1D" w:rsidP="00EC3C04">
      <w:pPr>
        <w:tabs>
          <w:tab w:val="left" w:pos="2667"/>
        </w:tabs>
        <w:rPr>
          <w:rFonts w:ascii="Times" w:hAnsi="Times"/>
        </w:rPr>
      </w:pPr>
    </w:p>
    <w:p w14:paraId="70DFCACC" w14:textId="77777777" w:rsidR="00A46B1D" w:rsidRDefault="00A46B1D" w:rsidP="00EC3C04">
      <w:pPr>
        <w:tabs>
          <w:tab w:val="left" w:pos="2667"/>
        </w:tabs>
        <w:rPr>
          <w:rFonts w:ascii="Times" w:hAnsi="Times"/>
        </w:rPr>
      </w:pPr>
    </w:p>
    <w:p w14:paraId="5473E194" w14:textId="77777777" w:rsidR="00A46B1D" w:rsidRDefault="00A46B1D" w:rsidP="00A46B1D">
      <w:pPr>
        <w:ind w:firstLine="708"/>
        <w:jc w:val="both"/>
        <w:rPr>
          <w:rFonts w:ascii="Times" w:hAnsi="Times"/>
        </w:rPr>
      </w:pPr>
    </w:p>
    <w:p w14:paraId="7CA1D323" w14:textId="77777777" w:rsidR="00A46B1D" w:rsidRDefault="00A46B1D" w:rsidP="00A46B1D">
      <w:pPr>
        <w:pBdr>
          <w:top w:val="single" w:sz="4" w:space="1" w:color="auto"/>
          <w:left w:val="single" w:sz="4" w:space="4" w:color="auto"/>
          <w:bottom w:val="single" w:sz="4" w:space="1" w:color="auto"/>
          <w:right w:val="single" w:sz="4" w:space="4" w:color="auto"/>
        </w:pBdr>
        <w:jc w:val="both"/>
        <w:rPr>
          <w:rFonts w:ascii="Times" w:hAnsi="Times"/>
        </w:rPr>
      </w:pPr>
      <w:r w:rsidRPr="009357EF">
        <w:rPr>
          <w:rFonts w:ascii="Times" w:hAnsi="Times"/>
        </w:rPr>
        <w:t xml:space="preserve">Dr Vitrac, extrait </w:t>
      </w:r>
      <w:r w:rsidRPr="009357EF">
        <w:rPr>
          <w:rFonts w:ascii="Times" w:hAnsi="Times"/>
          <w:i/>
          <w:iCs/>
        </w:rPr>
        <w:t>du Cri de la Guadeloupe</w:t>
      </w:r>
      <w:r w:rsidRPr="009357EF">
        <w:rPr>
          <w:rFonts w:ascii="Times" w:hAnsi="Times"/>
        </w:rPr>
        <w:t xml:space="preserve">, 7 octobre 1911. Cité par R. Boutin, La population de la Guadeloupe, Matoury, Ibis Rouge, 2006. </w:t>
      </w:r>
    </w:p>
    <w:p w14:paraId="672DE6E4" w14:textId="77777777" w:rsidR="00A46B1D" w:rsidRDefault="00A46B1D" w:rsidP="00A46B1D">
      <w:pPr>
        <w:ind w:firstLine="708"/>
        <w:jc w:val="both"/>
        <w:rPr>
          <w:rFonts w:ascii="Times" w:hAnsi="Times"/>
        </w:rPr>
      </w:pPr>
      <w:r w:rsidRPr="009357EF">
        <w:rPr>
          <w:rFonts w:ascii="Times" w:hAnsi="Times"/>
        </w:rPr>
        <w:t xml:space="preserve">Mais voilà pour avoir des instituteurs, il faut les payer. Pour construire des écoles, ou louer des locaux pouvant servir d’école, pour les pourvoir en mobilier scolaire, il faut de l’argent, et les communes n’en n’ont pas! Dans ces conditions (…) il faudrait que la colonie ou si on veut le conseil général viennent au secours des communes les plus obérées, en leur accordant une petite subvention annuelle (…) mais la colonie elle-même n’a pas d’argent! </w:t>
      </w:r>
    </w:p>
    <w:p w14:paraId="66FF985C" w14:textId="77777777" w:rsidR="00A46B1D" w:rsidRDefault="00A46B1D" w:rsidP="00A46B1D">
      <w:pPr>
        <w:jc w:val="both"/>
        <w:rPr>
          <w:rFonts w:ascii="Times" w:hAnsi="Times"/>
        </w:rPr>
      </w:pPr>
    </w:p>
    <w:p w14:paraId="7684F1F6" w14:textId="77777777" w:rsidR="00A46B1D" w:rsidRDefault="00A46B1D" w:rsidP="00A46B1D">
      <w:pPr>
        <w:pBdr>
          <w:top w:val="single" w:sz="4" w:space="1" w:color="auto"/>
          <w:left w:val="single" w:sz="4" w:space="4" w:color="auto"/>
          <w:bottom w:val="single" w:sz="4" w:space="1" w:color="auto"/>
          <w:right w:val="single" w:sz="4" w:space="4" w:color="auto"/>
        </w:pBdr>
        <w:jc w:val="both"/>
        <w:rPr>
          <w:rFonts w:ascii="Times" w:hAnsi="Times"/>
        </w:rPr>
      </w:pPr>
      <w:r>
        <w:rPr>
          <w:rFonts w:ascii="Times" w:hAnsi="Times"/>
        </w:rPr>
        <w:t xml:space="preserve">Résultats au certificat d’étude à la fin du XIXe siècle, </w:t>
      </w:r>
      <w:r w:rsidRPr="009357EF">
        <w:rPr>
          <w:rFonts w:ascii="Times" w:hAnsi="Times"/>
        </w:rPr>
        <w:t xml:space="preserve">R. Boutin, La population de la Guadeloupe, Matoury, Ibis Rouge, 2006. </w:t>
      </w:r>
    </w:p>
    <w:p w14:paraId="654363D3" w14:textId="77777777" w:rsidR="00A46B1D" w:rsidRDefault="00A46B1D" w:rsidP="00A46B1D">
      <w:pPr>
        <w:jc w:val="center"/>
        <w:rPr>
          <w:rFonts w:ascii="Times" w:hAnsi="Times"/>
        </w:rPr>
      </w:pPr>
    </w:p>
    <w:tbl>
      <w:tblPr>
        <w:tblStyle w:val="Grille"/>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
        <w:gridCol w:w="964"/>
        <w:gridCol w:w="696"/>
        <w:gridCol w:w="749"/>
        <w:gridCol w:w="992"/>
        <w:gridCol w:w="709"/>
        <w:gridCol w:w="712"/>
        <w:gridCol w:w="851"/>
      </w:tblGrid>
      <w:tr w:rsidR="00A46B1D" w14:paraId="6F889817" w14:textId="77777777">
        <w:trPr>
          <w:gridBefore w:val="1"/>
          <w:gridAfter w:val="1"/>
          <w:wBefore w:w="960" w:type="dxa"/>
          <w:wAfter w:w="847" w:type="dxa"/>
          <w:trHeight w:val="227"/>
        </w:trPr>
        <w:tc>
          <w:tcPr>
            <w:tcW w:w="2409" w:type="dxa"/>
            <w:gridSpan w:val="3"/>
          </w:tcPr>
          <w:p w14:paraId="6559806C" w14:textId="77777777" w:rsidR="00A46B1D" w:rsidRDefault="00A46B1D" w:rsidP="00A55F66">
            <w:pPr>
              <w:jc w:val="both"/>
              <w:rPr>
                <w:rFonts w:ascii="Times" w:hAnsi="Times"/>
              </w:rPr>
            </w:pPr>
            <w:r>
              <w:rPr>
                <w:rFonts w:ascii="Times" w:hAnsi="Times"/>
              </w:rPr>
              <w:t>Présentés</w:t>
            </w:r>
          </w:p>
        </w:tc>
        <w:tc>
          <w:tcPr>
            <w:tcW w:w="2413" w:type="dxa"/>
            <w:gridSpan w:val="3"/>
            <w:shd w:val="clear" w:color="auto" w:fill="auto"/>
          </w:tcPr>
          <w:p w14:paraId="35A0A938" w14:textId="77777777" w:rsidR="00A46B1D" w:rsidRDefault="00A46B1D">
            <w:pPr>
              <w:rPr>
                <w:rFonts w:ascii="Times" w:hAnsi="Times"/>
              </w:rPr>
            </w:pPr>
            <w:r>
              <w:rPr>
                <w:rFonts w:ascii="Times" w:hAnsi="Times"/>
              </w:rPr>
              <w:t>Admis</w:t>
            </w:r>
          </w:p>
        </w:tc>
      </w:tr>
      <w:tr w:rsidR="00A46B1D" w14:paraId="6B527826"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BF" w:firstRow="1" w:lastRow="0" w:firstColumn="1" w:lastColumn="0" w:noHBand="0" w:noVBand="0"/>
        </w:tblPrEx>
        <w:tc>
          <w:tcPr>
            <w:tcW w:w="960" w:type="dxa"/>
            <w:tcBorders>
              <w:right w:val="single" w:sz="4" w:space="0" w:color="auto"/>
            </w:tcBorders>
          </w:tcPr>
          <w:p w14:paraId="663FA6E2" w14:textId="77777777" w:rsidR="00A46B1D" w:rsidRDefault="00A46B1D" w:rsidP="00A55F66">
            <w:pPr>
              <w:jc w:val="both"/>
              <w:rPr>
                <w:rFonts w:ascii="Times" w:hAnsi="Times"/>
              </w:rPr>
            </w:pPr>
            <w:r>
              <w:rPr>
                <w:rFonts w:ascii="Times" w:hAnsi="Times"/>
              </w:rPr>
              <w:t>Années</w:t>
            </w:r>
          </w:p>
        </w:tc>
        <w:tc>
          <w:tcPr>
            <w:tcW w:w="964" w:type="dxa"/>
            <w:tcBorders>
              <w:left w:val="single" w:sz="4" w:space="0" w:color="auto"/>
            </w:tcBorders>
          </w:tcPr>
          <w:p w14:paraId="32F2281C" w14:textId="77777777" w:rsidR="00A46B1D" w:rsidRDefault="00A46B1D" w:rsidP="00A55F66">
            <w:pPr>
              <w:jc w:val="both"/>
              <w:rPr>
                <w:rFonts w:ascii="Times" w:hAnsi="Times"/>
              </w:rPr>
            </w:pPr>
            <w:r>
              <w:rPr>
                <w:rFonts w:ascii="Times" w:hAnsi="Times"/>
              </w:rPr>
              <w:t>garçons</w:t>
            </w:r>
          </w:p>
        </w:tc>
        <w:tc>
          <w:tcPr>
            <w:tcW w:w="696" w:type="dxa"/>
          </w:tcPr>
          <w:p w14:paraId="0EF98541" w14:textId="77777777" w:rsidR="00A46B1D" w:rsidRDefault="00A46B1D" w:rsidP="00A55F66">
            <w:pPr>
              <w:jc w:val="both"/>
              <w:rPr>
                <w:rFonts w:ascii="Times" w:hAnsi="Times"/>
              </w:rPr>
            </w:pPr>
            <w:r>
              <w:rPr>
                <w:rFonts w:ascii="Times" w:hAnsi="Times"/>
              </w:rPr>
              <w:t>filles</w:t>
            </w:r>
          </w:p>
        </w:tc>
        <w:tc>
          <w:tcPr>
            <w:tcW w:w="749" w:type="dxa"/>
          </w:tcPr>
          <w:p w14:paraId="1579C23E" w14:textId="77777777" w:rsidR="00A46B1D" w:rsidRDefault="00A46B1D" w:rsidP="00A55F66">
            <w:pPr>
              <w:jc w:val="both"/>
              <w:rPr>
                <w:rFonts w:ascii="Times" w:hAnsi="Times"/>
              </w:rPr>
            </w:pPr>
            <w:r>
              <w:rPr>
                <w:rFonts w:ascii="Times" w:hAnsi="Times"/>
              </w:rPr>
              <w:t>total</w:t>
            </w:r>
          </w:p>
        </w:tc>
        <w:tc>
          <w:tcPr>
            <w:tcW w:w="992" w:type="dxa"/>
          </w:tcPr>
          <w:p w14:paraId="7B1D7DC4" w14:textId="77777777" w:rsidR="00A46B1D" w:rsidRDefault="00A46B1D" w:rsidP="00A55F66">
            <w:pPr>
              <w:jc w:val="both"/>
              <w:rPr>
                <w:rFonts w:ascii="Times" w:hAnsi="Times"/>
              </w:rPr>
            </w:pPr>
            <w:r>
              <w:rPr>
                <w:rFonts w:ascii="Times" w:hAnsi="Times"/>
              </w:rPr>
              <w:t>garçons</w:t>
            </w:r>
          </w:p>
        </w:tc>
        <w:tc>
          <w:tcPr>
            <w:tcW w:w="709" w:type="dxa"/>
          </w:tcPr>
          <w:p w14:paraId="356EBFB7" w14:textId="77777777" w:rsidR="00A46B1D" w:rsidRDefault="00A46B1D" w:rsidP="00A55F66">
            <w:pPr>
              <w:jc w:val="both"/>
              <w:rPr>
                <w:rFonts w:ascii="Times" w:hAnsi="Times"/>
              </w:rPr>
            </w:pPr>
            <w:r>
              <w:rPr>
                <w:rFonts w:ascii="Times" w:hAnsi="Times"/>
              </w:rPr>
              <w:t>filles</w:t>
            </w:r>
          </w:p>
        </w:tc>
        <w:tc>
          <w:tcPr>
            <w:tcW w:w="708" w:type="dxa"/>
          </w:tcPr>
          <w:p w14:paraId="74BD9E87" w14:textId="77777777" w:rsidR="00A46B1D" w:rsidRDefault="00A46B1D" w:rsidP="00A55F66">
            <w:pPr>
              <w:jc w:val="both"/>
              <w:rPr>
                <w:rFonts w:ascii="Times" w:hAnsi="Times"/>
              </w:rPr>
            </w:pPr>
            <w:r>
              <w:rPr>
                <w:rFonts w:ascii="Times" w:hAnsi="Times"/>
              </w:rPr>
              <w:t>total</w:t>
            </w:r>
          </w:p>
        </w:tc>
        <w:tc>
          <w:tcPr>
            <w:tcW w:w="851" w:type="dxa"/>
          </w:tcPr>
          <w:p w14:paraId="29779316" w14:textId="77777777" w:rsidR="00A46B1D" w:rsidRDefault="00A46B1D" w:rsidP="00A55F66">
            <w:pPr>
              <w:jc w:val="both"/>
              <w:rPr>
                <w:rFonts w:ascii="Times" w:hAnsi="Times"/>
              </w:rPr>
            </w:pPr>
            <w:r>
              <w:rPr>
                <w:rFonts w:ascii="Times" w:hAnsi="Times"/>
              </w:rPr>
              <w:t>En %</w:t>
            </w:r>
          </w:p>
        </w:tc>
      </w:tr>
      <w:tr w:rsidR="00A46B1D" w14:paraId="26BD2E8E"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BF" w:firstRow="1" w:lastRow="0" w:firstColumn="1" w:lastColumn="0" w:noHBand="0" w:noVBand="0"/>
        </w:tblPrEx>
        <w:tc>
          <w:tcPr>
            <w:tcW w:w="960" w:type="dxa"/>
          </w:tcPr>
          <w:p w14:paraId="55D83CBE" w14:textId="77777777" w:rsidR="00A46B1D" w:rsidRDefault="00A46B1D" w:rsidP="00A55F66">
            <w:pPr>
              <w:jc w:val="both"/>
              <w:rPr>
                <w:rFonts w:ascii="Times" w:hAnsi="Times"/>
              </w:rPr>
            </w:pPr>
            <w:r>
              <w:rPr>
                <w:rFonts w:ascii="Times" w:hAnsi="Times"/>
              </w:rPr>
              <w:t>1883</w:t>
            </w:r>
          </w:p>
        </w:tc>
        <w:tc>
          <w:tcPr>
            <w:tcW w:w="964" w:type="dxa"/>
          </w:tcPr>
          <w:p w14:paraId="639F3770" w14:textId="77777777" w:rsidR="00A46B1D" w:rsidRDefault="00A46B1D" w:rsidP="00A55F66">
            <w:pPr>
              <w:jc w:val="both"/>
              <w:rPr>
                <w:rFonts w:ascii="Times" w:hAnsi="Times"/>
              </w:rPr>
            </w:pPr>
            <w:r>
              <w:rPr>
                <w:rFonts w:ascii="Times" w:hAnsi="Times"/>
              </w:rPr>
              <w:t>155</w:t>
            </w:r>
          </w:p>
        </w:tc>
        <w:tc>
          <w:tcPr>
            <w:tcW w:w="696" w:type="dxa"/>
          </w:tcPr>
          <w:p w14:paraId="6E1EAB89" w14:textId="77777777" w:rsidR="00A46B1D" w:rsidRDefault="00A46B1D" w:rsidP="00A55F66">
            <w:pPr>
              <w:jc w:val="both"/>
              <w:rPr>
                <w:rFonts w:ascii="Times" w:hAnsi="Times"/>
              </w:rPr>
            </w:pPr>
            <w:r>
              <w:rPr>
                <w:rFonts w:ascii="Times" w:hAnsi="Times"/>
              </w:rPr>
              <w:t>22</w:t>
            </w:r>
          </w:p>
        </w:tc>
        <w:tc>
          <w:tcPr>
            <w:tcW w:w="749" w:type="dxa"/>
          </w:tcPr>
          <w:p w14:paraId="29A79D88" w14:textId="77777777" w:rsidR="00A46B1D" w:rsidRDefault="00A46B1D" w:rsidP="00A55F66">
            <w:pPr>
              <w:jc w:val="both"/>
              <w:rPr>
                <w:rFonts w:ascii="Times" w:hAnsi="Times"/>
              </w:rPr>
            </w:pPr>
            <w:r>
              <w:rPr>
                <w:rFonts w:ascii="Times" w:hAnsi="Times"/>
              </w:rPr>
              <w:t>177</w:t>
            </w:r>
          </w:p>
        </w:tc>
        <w:tc>
          <w:tcPr>
            <w:tcW w:w="992" w:type="dxa"/>
          </w:tcPr>
          <w:p w14:paraId="1E534080" w14:textId="77777777" w:rsidR="00A46B1D" w:rsidRDefault="00A46B1D" w:rsidP="00A55F66">
            <w:pPr>
              <w:jc w:val="both"/>
              <w:rPr>
                <w:rFonts w:ascii="Times" w:hAnsi="Times"/>
              </w:rPr>
            </w:pPr>
            <w:r>
              <w:rPr>
                <w:rFonts w:ascii="Times" w:hAnsi="Times"/>
              </w:rPr>
              <w:t>43</w:t>
            </w:r>
          </w:p>
        </w:tc>
        <w:tc>
          <w:tcPr>
            <w:tcW w:w="709" w:type="dxa"/>
          </w:tcPr>
          <w:p w14:paraId="7ADE3D06" w14:textId="77777777" w:rsidR="00A46B1D" w:rsidRDefault="00A46B1D" w:rsidP="00A55F66">
            <w:pPr>
              <w:jc w:val="both"/>
              <w:rPr>
                <w:rFonts w:ascii="Times" w:hAnsi="Times"/>
              </w:rPr>
            </w:pPr>
            <w:r>
              <w:rPr>
                <w:rFonts w:ascii="Times" w:hAnsi="Times"/>
              </w:rPr>
              <w:t>15</w:t>
            </w:r>
          </w:p>
        </w:tc>
        <w:tc>
          <w:tcPr>
            <w:tcW w:w="708" w:type="dxa"/>
          </w:tcPr>
          <w:p w14:paraId="3AD7F6CE" w14:textId="77777777" w:rsidR="00A46B1D" w:rsidRDefault="00A46B1D" w:rsidP="00A55F66">
            <w:pPr>
              <w:jc w:val="both"/>
              <w:rPr>
                <w:rFonts w:ascii="Times" w:hAnsi="Times"/>
              </w:rPr>
            </w:pPr>
            <w:r>
              <w:rPr>
                <w:rFonts w:ascii="Times" w:hAnsi="Times"/>
              </w:rPr>
              <w:t>58</w:t>
            </w:r>
          </w:p>
        </w:tc>
        <w:tc>
          <w:tcPr>
            <w:tcW w:w="851" w:type="dxa"/>
          </w:tcPr>
          <w:p w14:paraId="0A241EC5" w14:textId="77777777" w:rsidR="00A46B1D" w:rsidRDefault="00A46B1D" w:rsidP="00A55F66">
            <w:pPr>
              <w:jc w:val="both"/>
              <w:rPr>
                <w:rFonts w:ascii="Times" w:hAnsi="Times"/>
              </w:rPr>
            </w:pPr>
            <w:r>
              <w:rPr>
                <w:rFonts w:ascii="Times" w:hAnsi="Times"/>
              </w:rPr>
              <w:t>33</w:t>
            </w:r>
          </w:p>
        </w:tc>
      </w:tr>
      <w:tr w:rsidR="00A46B1D" w14:paraId="3ABE9E5D"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BF" w:firstRow="1" w:lastRow="0" w:firstColumn="1" w:lastColumn="0" w:noHBand="0" w:noVBand="0"/>
        </w:tblPrEx>
        <w:tc>
          <w:tcPr>
            <w:tcW w:w="960" w:type="dxa"/>
          </w:tcPr>
          <w:p w14:paraId="42AFBFE6" w14:textId="77777777" w:rsidR="00A46B1D" w:rsidRDefault="00A46B1D" w:rsidP="00A55F66">
            <w:pPr>
              <w:jc w:val="both"/>
              <w:rPr>
                <w:rFonts w:ascii="Times" w:hAnsi="Times"/>
              </w:rPr>
            </w:pPr>
            <w:r>
              <w:rPr>
                <w:rFonts w:ascii="Times" w:hAnsi="Times"/>
              </w:rPr>
              <w:t>1884</w:t>
            </w:r>
          </w:p>
        </w:tc>
        <w:tc>
          <w:tcPr>
            <w:tcW w:w="964" w:type="dxa"/>
          </w:tcPr>
          <w:p w14:paraId="6B61AAE0" w14:textId="77777777" w:rsidR="00A46B1D" w:rsidRDefault="00A46B1D" w:rsidP="00A55F66">
            <w:pPr>
              <w:jc w:val="both"/>
              <w:rPr>
                <w:rFonts w:ascii="Times" w:hAnsi="Times"/>
              </w:rPr>
            </w:pPr>
            <w:r>
              <w:rPr>
                <w:rFonts w:ascii="Times" w:hAnsi="Times"/>
              </w:rPr>
              <w:t>142</w:t>
            </w:r>
          </w:p>
        </w:tc>
        <w:tc>
          <w:tcPr>
            <w:tcW w:w="696" w:type="dxa"/>
          </w:tcPr>
          <w:p w14:paraId="1CE548CA" w14:textId="77777777" w:rsidR="00A46B1D" w:rsidRDefault="00A46B1D" w:rsidP="00A55F66">
            <w:pPr>
              <w:jc w:val="both"/>
              <w:rPr>
                <w:rFonts w:ascii="Times" w:hAnsi="Times"/>
              </w:rPr>
            </w:pPr>
            <w:r>
              <w:rPr>
                <w:rFonts w:ascii="Times" w:hAnsi="Times"/>
              </w:rPr>
              <w:t>73</w:t>
            </w:r>
          </w:p>
        </w:tc>
        <w:tc>
          <w:tcPr>
            <w:tcW w:w="749" w:type="dxa"/>
          </w:tcPr>
          <w:p w14:paraId="23263923" w14:textId="77777777" w:rsidR="00A46B1D" w:rsidRDefault="00A46B1D" w:rsidP="00A55F66">
            <w:pPr>
              <w:jc w:val="both"/>
              <w:rPr>
                <w:rFonts w:ascii="Times" w:hAnsi="Times"/>
              </w:rPr>
            </w:pPr>
            <w:r>
              <w:rPr>
                <w:rFonts w:ascii="Times" w:hAnsi="Times"/>
              </w:rPr>
              <w:t>215</w:t>
            </w:r>
          </w:p>
        </w:tc>
        <w:tc>
          <w:tcPr>
            <w:tcW w:w="992" w:type="dxa"/>
          </w:tcPr>
          <w:p w14:paraId="0C6ABFB2" w14:textId="77777777" w:rsidR="00A46B1D" w:rsidRDefault="00A46B1D" w:rsidP="00A55F66">
            <w:pPr>
              <w:jc w:val="both"/>
              <w:rPr>
                <w:rFonts w:ascii="Times" w:hAnsi="Times"/>
              </w:rPr>
            </w:pPr>
            <w:r>
              <w:rPr>
                <w:rFonts w:ascii="Times" w:hAnsi="Times"/>
              </w:rPr>
              <w:t>56</w:t>
            </w:r>
          </w:p>
        </w:tc>
        <w:tc>
          <w:tcPr>
            <w:tcW w:w="709" w:type="dxa"/>
          </w:tcPr>
          <w:p w14:paraId="7648CA2E" w14:textId="77777777" w:rsidR="00A46B1D" w:rsidRDefault="00A46B1D" w:rsidP="00A55F66">
            <w:pPr>
              <w:jc w:val="both"/>
              <w:rPr>
                <w:rFonts w:ascii="Times" w:hAnsi="Times"/>
              </w:rPr>
            </w:pPr>
            <w:r>
              <w:rPr>
                <w:rFonts w:ascii="Times" w:hAnsi="Times"/>
              </w:rPr>
              <w:t>10</w:t>
            </w:r>
          </w:p>
        </w:tc>
        <w:tc>
          <w:tcPr>
            <w:tcW w:w="708" w:type="dxa"/>
          </w:tcPr>
          <w:p w14:paraId="61814197" w14:textId="77777777" w:rsidR="00A46B1D" w:rsidRDefault="00A46B1D" w:rsidP="00A55F66">
            <w:pPr>
              <w:jc w:val="both"/>
              <w:rPr>
                <w:rFonts w:ascii="Times" w:hAnsi="Times"/>
              </w:rPr>
            </w:pPr>
            <w:r>
              <w:rPr>
                <w:rFonts w:ascii="Times" w:hAnsi="Times"/>
              </w:rPr>
              <w:t>66</w:t>
            </w:r>
          </w:p>
        </w:tc>
        <w:tc>
          <w:tcPr>
            <w:tcW w:w="851" w:type="dxa"/>
          </w:tcPr>
          <w:p w14:paraId="36BE39DD" w14:textId="77777777" w:rsidR="00A46B1D" w:rsidRDefault="00A46B1D" w:rsidP="00A55F66">
            <w:pPr>
              <w:jc w:val="both"/>
              <w:rPr>
                <w:rFonts w:ascii="Times" w:hAnsi="Times"/>
              </w:rPr>
            </w:pPr>
            <w:r>
              <w:rPr>
                <w:rFonts w:ascii="Times" w:hAnsi="Times"/>
              </w:rPr>
              <w:t>31</w:t>
            </w:r>
          </w:p>
        </w:tc>
      </w:tr>
      <w:tr w:rsidR="00A46B1D" w14:paraId="643F83CB"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BF" w:firstRow="1" w:lastRow="0" w:firstColumn="1" w:lastColumn="0" w:noHBand="0" w:noVBand="0"/>
        </w:tblPrEx>
        <w:tc>
          <w:tcPr>
            <w:tcW w:w="960" w:type="dxa"/>
          </w:tcPr>
          <w:p w14:paraId="3DCE2FC6" w14:textId="77777777" w:rsidR="00A46B1D" w:rsidRDefault="00A46B1D" w:rsidP="00A55F66">
            <w:pPr>
              <w:jc w:val="both"/>
              <w:rPr>
                <w:rFonts w:ascii="Times" w:hAnsi="Times"/>
              </w:rPr>
            </w:pPr>
            <w:r>
              <w:rPr>
                <w:rFonts w:ascii="Times" w:hAnsi="Times"/>
              </w:rPr>
              <w:t>1885</w:t>
            </w:r>
          </w:p>
        </w:tc>
        <w:tc>
          <w:tcPr>
            <w:tcW w:w="964" w:type="dxa"/>
          </w:tcPr>
          <w:p w14:paraId="2A0B9E8A" w14:textId="77777777" w:rsidR="00A46B1D" w:rsidRDefault="00A46B1D" w:rsidP="00A55F66">
            <w:pPr>
              <w:jc w:val="both"/>
              <w:rPr>
                <w:rFonts w:ascii="Times" w:hAnsi="Times"/>
              </w:rPr>
            </w:pPr>
            <w:r>
              <w:rPr>
                <w:rFonts w:ascii="Times" w:hAnsi="Times"/>
              </w:rPr>
              <w:t>124</w:t>
            </w:r>
          </w:p>
        </w:tc>
        <w:tc>
          <w:tcPr>
            <w:tcW w:w="696" w:type="dxa"/>
          </w:tcPr>
          <w:p w14:paraId="1ACDE548" w14:textId="77777777" w:rsidR="00A46B1D" w:rsidRDefault="00A46B1D" w:rsidP="00A55F66">
            <w:pPr>
              <w:jc w:val="both"/>
              <w:rPr>
                <w:rFonts w:ascii="Times" w:hAnsi="Times"/>
              </w:rPr>
            </w:pPr>
            <w:r>
              <w:rPr>
                <w:rFonts w:ascii="Times" w:hAnsi="Times"/>
              </w:rPr>
              <w:t>69</w:t>
            </w:r>
          </w:p>
        </w:tc>
        <w:tc>
          <w:tcPr>
            <w:tcW w:w="749" w:type="dxa"/>
          </w:tcPr>
          <w:p w14:paraId="67E1CA21" w14:textId="77777777" w:rsidR="00A46B1D" w:rsidRDefault="00A46B1D" w:rsidP="00A55F66">
            <w:pPr>
              <w:jc w:val="both"/>
              <w:rPr>
                <w:rFonts w:ascii="Times" w:hAnsi="Times"/>
              </w:rPr>
            </w:pPr>
            <w:r>
              <w:rPr>
                <w:rFonts w:ascii="Times" w:hAnsi="Times"/>
              </w:rPr>
              <w:t>193</w:t>
            </w:r>
          </w:p>
        </w:tc>
        <w:tc>
          <w:tcPr>
            <w:tcW w:w="992" w:type="dxa"/>
          </w:tcPr>
          <w:p w14:paraId="5C143F0F" w14:textId="77777777" w:rsidR="00A46B1D" w:rsidRDefault="00A46B1D" w:rsidP="00A55F66">
            <w:pPr>
              <w:jc w:val="both"/>
              <w:rPr>
                <w:rFonts w:ascii="Times" w:hAnsi="Times"/>
              </w:rPr>
            </w:pPr>
            <w:r>
              <w:rPr>
                <w:rFonts w:ascii="Times" w:hAnsi="Times"/>
              </w:rPr>
              <w:t>41</w:t>
            </w:r>
          </w:p>
        </w:tc>
        <w:tc>
          <w:tcPr>
            <w:tcW w:w="709" w:type="dxa"/>
          </w:tcPr>
          <w:p w14:paraId="0FC411F2" w14:textId="77777777" w:rsidR="00A46B1D" w:rsidRDefault="00A46B1D" w:rsidP="00A55F66">
            <w:pPr>
              <w:jc w:val="both"/>
              <w:rPr>
                <w:rFonts w:ascii="Times" w:hAnsi="Times"/>
              </w:rPr>
            </w:pPr>
            <w:r>
              <w:rPr>
                <w:rFonts w:ascii="Times" w:hAnsi="Times"/>
              </w:rPr>
              <w:t>45</w:t>
            </w:r>
          </w:p>
        </w:tc>
        <w:tc>
          <w:tcPr>
            <w:tcW w:w="708" w:type="dxa"/>
          </w:tcPr>
          <w:p w14:paraId="6FF12F2D" w14:textId="77777777" w:rsidR="00A46B1D" w:rsidRDefault="00A46B1D" w:rsidP="00A55F66">
            <w:pPr>
              <w:jc w:val="both"/>
              <w:rPr>
                <w:rFonts w:ascii="Times" w:hAnsi="Times"/>
              </w:rPr>
            </w:pPr>
            <w:r>
              <w:rPr>
                <w:rFonts w:ascii="Times" w:hAnsi="Times"/>
              </w:rPr>
              <w:t>86</w:t>
            </w:r>
          </w:p>
        </w:tc>
        <w:tc>
          <w:tcPr>
            <w:tcW w:w="851" w:type="dxa"/>
          </w:tcPr>
          <w:p w14:paraId="12ABCF61" w14:textId="77777777" w:rsidR="00A46B1D" w:rsidRDefault="00A46B1D" w:rsidP="00A55F66">
            <w:pPr>
              <w:jc w:val="both"/>
              <w:rPr>
                <w:rFonts w:ascii="Times" w:hAnsi="Times"/>
              </w:rPr>
            </w:pPr>
            <w:r>
              <w:rPr>
                <w:rFonts w:ascii="Times" w:hAnsi="Times"/>
              </w:rPr>
              <w:t>45</w:t>
            </w:r>
          </w:p>
        </w:tc>
      </w:tr>
      <w:tr w:rsidR="00A46B1D" w14:paraId="25B85899"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BF" w:firstRow="1" w:lastRow="0" w:firstColumn="1" w:lastColumn="0" w:noHBand="0" w:noVBand="0"/>
        </w:tblPrEx>
        <w:tc>
          <w:tcPr>
            <w:tcW w:w="960" w:type="dxa"/>
          </w:tcPr>
          <w:p w14:paraId="73AFEE7D" w14:textId="77777777" w:rsidR="00A46B1D" w:rsidRDefault="00A46B1D" w:rsidP="00A55F66">
            <w:pPr>
              <w:jc w:val="both"/>
              <w:rPr>
                <w:rFonts w:ascii="Times" w:hAnsi="Times"/>
              </w:rPr>
            </w:pPr>
            <w:r>
              <w:rPr>
                <w:rFonts w:ascii="Times" w:hAnsi="Times"/>
              </w:rPr>
              <w:t>1886</w:t>
            </w:r>
          </w:p>
        </w:tc>
        <w:tc>
          <w:tcPr>
            <w:tcW w:w="964" w:type="dxa"/>
          </w:tcPr>
          <w:p w14:paraId="3F5D3941" w14:textId="77777777" w:rsidR="00A46B1D" w:rsidRDefault="00A46B1D" w:rsidP="00A55F66">
            <w:pPr>
              <w:jc w:val="both"/>
              <w:rPr>
                <w:rFonts w:ascii="Times" w:hAnsi="Times"/>
              </w:rPr>
            </w:pPr>
            <w:r>
              <w:rPr>
                <w:rFonts w:ascii="Times" w:hAnsi="Times"/>
              </w:rPr>
              <w:t>145</w:t>
            </w:r>
          </w:p>
        </w:tc>
        <w:tc>
          <w:tcPr>
            <w:tcW w:w="696" w:type="dxa"/>
          </w:tcPr>
          <w:p w14:paraId="766A5896" w14:textId="77777777" w:rsidR="00A46B1D" w:rsidRDefault="00A46B1D" w:rsidP="00A55F66">
            <w:pPr>
              <w:jc w:val="both"/>
              <w:rPr>
                <w:rFonts w:ascii="Times" w:hAnsi="Times"/>
              </w:rPr>
            </w:pPr>
            <w:r>
              <w:rPr>
                <w:rFonts w:ascii="Times" w:hAnsi="Times"/>
              </w:rPr>
              <w:t>94</w:t>
            </w:r>
          </w:p>
        </w:tc>
        <w:tc>
          <w:tcPr>
            <w:tcW w:w="749" w:type="dxa"/>
          </w:tcPr>
          <w:p w14:paraId="68D57ADC" w14:textId="77777777" w:rsidR="00A46B1D" w:rsidRDefault="00A46B1D" w:rsidP="00A55F66">
            <w:pPr>
              <w:jc w:val="both"/>
              <w:rPr>
                <w:rFonts w:ascii="Times" w:hAnsi="Times"/>
              </w:rPr>
            </w:pPr>
            <w:r>
              <w:rPr>
                <w:rFonts w:ascii="Times" w:hAnsi="Times"/>
              </w:rPr>
              <w:t>236</w:t>
            </w:r>
          </w:p>
        </w:tc>
        <w:tc>
          <w:tcPr>
            <w:tcW w:w="992" w:type="dxa"/>
          </w:tcPr>
          <w:p w14:paraId="60D73A3D" w14:textId="77777777" w:rsidR="00A46B1D" w:rsidRDefault="00A46B1D" w:rsidP="00A55F66">
            <w:pPr>
              <w:jc w:val="both"/>
              <w:rPr>
                <w:rFonts w:ascii="Times" w:hAnsi="Times"/>
              </w:rPr>
            </w:pPr>
            <w:r>
              <w:rPr>
                <w:rFonts w:ascii="Times" w:hAnsi="Times"/>
              </w:rPr>
              <w:t>74</w:t>
            </w:r>
          </w:p>
        </w:tc>
        <w:tc>
          <w:tcPr>
            <w:tcW w:w="709" w:type="dxa"/>
          </w:tcPr>
          <w:p w14:paraId="3BE21AB7" w14:textId="77777777" w:rsidR="00A46B1D" w:rsidRDefault="00A46B1D" w:rsidP="00A55F66">
            <w:pPr>
              <w:jc w:val="both"/>
              <w:rPr>
                <w:rFonts w:ascii="Times" w:hAnsi="Times"/>
              </w:rPr>
            </w:pPr>
            <w:r>
              <w:rPr>
                <w:rFonts w:ascii="Times" w:hAnsi="Times"/>
              </w:rPr>
              <w:t>39</w:t>
            </w:r>
          </w:p>
        </w:tc>
        <w:tc>
          <w:tcPr>
            <w:tcW w:w="708" w:type="dxa"/>
          </w:tcPr>
          <w:p w14:paraId="6C27AF2D" w14:textId="77777777" w:rsidR="00A46B1D" w:rsidRDefault="00A46B1D" w:rsidP="00A55F66">
            <w:pPr>
              <w:jc w:val="both"/>
              <w:rPr>
                <w:rFonts w:ascii="Times" w:hAnsi="Times"/>
              </w:rPr>
            </w:pPr>
            <w:r>
              <w:rPr>
                <w:rFonts w:ascii="Times" w:hAnsi="Times"/>
              </w:rPr>
              <w:t>113</w:t>
            </w:r>
          </w:p>
        </w:tc>
        <w:tc>
          <w:tcPr>
            <w:tcW w:w="851" w:type="dxa"/>
          </w:tcPr>
          <w:p w14:paraId="4978433D" w14:textId="77777777" w:rsidR="00A46B1D" w:rsidRDefault="00A46B1D" w:rsidP="00A55F66">
            <w:pPr>
              <w:jc w:val="both"/>
              <w:rPr>
                <w:rFonts w:ascii="Times" w:hAnsi="Times"/>
              </w:rPr>
            </w:pPr>
            <w:r>
              <w:rPr>
                <w:rFonts w:ascii="Times" w:hAnsi="Times"/>
              </w:rPr>
              <w:t>48</w:t>
            </w:r>
          </w:p>
        </w:tc>
      </w:tr>
      <w:tr w:rsidR="00A46B1D" w14:paraId="341E991E"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BF" w:firstRow="1" w:lastRow="0" w:firstColumn="1" w:lastColumn="0" w:noHBand="0" w:noVBand="0"/>
        </w:tblPrEx>
        <w:tc>
          <w:tcPr>
            <w:tcW w:w="960" w:type="dxa"/>
          </w:tcPr>
          <w:p w14:paraId="2C2BAC77" w14:textId="77777777" w:rsidR="00A46B1D" w:rsidRDefault="00A46B1D" w:rsidP="00A55F66">
            <w:pPr>
              <w:jc w:val="both"/>
              <w:rPr>
                <w:rFonts w:ascii="Times" w:hAnsi="Times"/>
              </w:rPr>
            </w:pPr>
            <w:r>
              <w:rPr>
                <w:rFonts w:ascii="Times" w:hAnsi="Times"/>
              </w:rPr>
              <w:t>1887</w:t>
            </w:r>
          </w:p>
        </w:tc>
        <w:tc>
          <w:tcPr>
            <w:tcW w:w="964" w:type="dxa"/>
          </w:tcPr>
          <w:p w14:paraId="228424A1" w14:textId="77777777" w:rsidR="00A46B1D" w:rsidRDefault="00A46B1D" w:rsidP="00A55F66">
            <w:pPr>
              <w:jc w:val="both"/>
              <w:rPr>
                <w:rFonts w:ascii="Times" w:hAnsi="Times"/>
              </w:rPr>
            </w:pPr>
            <w:r>
              <w:rPr>
                <w:rFonts w:ascii="Times" w:hAnsi="Times"/>
              </w:rPr>
              <w:t>180</w:t>
            </w:r>
          </w:p>
        </w:tc>
        <w:tc>
          <w:tcPr>
            <w:tcW w:w="696" w:type="dxa"/>
          </w:tcPr>
          <w:p w14:paraId="427DEE55" w14:textId="77777777" w:rsidR="00A46B1D" w:rsidRDefault="00A46B1D" w:rsidP="00A55F66">
            <w:pPr>
              <w:jc w:val="both"/>
              <w:rPr>
                <w:rFonts w:ascii="Times" w:hAnsi="Times"/>
              </w:rPr>
            </w:pPr>
            <w:r>
              <w:rPr>
                <w:rFonts w:ascii="Times" w:hAnsi="Times"/>
              </w:rPr>
              <w:t>118</w:t>
            </w:r>
          </w:p>
        </w:tc>
        <w:tc>
          <w:tcPr>
            <w:tcW w:w="749" w:type="dxa"/>
          </w:tcPr>
          <w:p w14:paraId="742D1568" w14:textId="77777777" w:rsidR="00A46B1D" w:rsidRDefault="00A46B1D" w:rsidP="00A55F66">
            <w:pPr>
              <w:jc w:val="both"/>
              <w:rPr>
                <w:rFonts w:ascii="Times" w:hAnsi="Times"/>
              </w:rPr>
            </w:pPr>
            <w:r>
              <w:rPr>
                <w:rFonts w:ascii="Times" w:hAnsi="Times"/>
              </w:rPr>
              <w:t>298</w:t>
            </w:r>
          </w:p>
        </w:tc>
        <w:tc>
          <w:tcPr>
            <w:tcW w:w="992" w:type="dxa"/>
          </w:tcPr>
          <w:p w14:paraId="009B3185" w14:textId="77777777" w:rsidR="00A46B1D" w:rsidRDefault="00A46B1D" w:rsidP="00A55F66">
            <w:pPr>
              <w:jc w:val="both"/>
              <w:rPr>
                <w:rFonts w:ascii="Times" w:hAnsi="Times"/>
              </w:rPr>
            </w:pPr>
            <w:r>
              <w:rPr>
                <w:rFonts w:ascii="Times" w:hAnsi="Times"/>
              </w:rPr>
              <w:t>110</w:t>
            </w:r>
          </w:p>
        </w:tc>
        <w:tc>
          <w:tcPr>
            <w:tcW w:w="709" w:type="dxa"/>
          </w:tcPr>
          <w:p w14:paraId="5CC75CCF" w14:textId="77777777" w:rsidR="00A46B1D" w:rsidRDefault="00A46B1D" w:rsidP="00A55F66">
            <w:pPr>
              <w:jc w:val="both"/>
              <w:rPr>
                <w:rFonts w:ascii="Times" w:hAnsi="Times"/>
              </w:rPr>
            </w:pPr>
            <w:r>
              <w:rPr>
                <w:rFonts w:ascii="Times" w:hAnsi="Times"/>
              </w:rPr>
              <w:t>77</w:t>
            </w:r>
          </w:p>
        </w:tc>
        <w:tc>
          <w:tcPr>
            <w:tcW w:w="708" w:type="dxa"/>
          </w:tcPr>
          <w:p w14:paraId="67405275" w14:textId="77777777" w:rsidR="00A46B1D" w:rsidRDefault="00A46B1D" w:rsidP="00A55F66">
            <w:pPr>
              <w:jc w:val="both"/>
              <w:rPr>
                <w:rFonts w:ascii="Times" w:hAnsi="Times"/>
              </w:rPr>
            </w:pPr>
            <w:r>
              <w:rPr>
                <w:rFonts w:ascii="Times" w:hAnsi="Times"/>
              </w:rPr>
              <w:t>187</w:t>
            </w:r>
          </w:p>
        </w:tc>
        <w:tc>
          <w:tcPr>
            <w:tcW w:w="851" w:type="dxa"/>
          </w:tcPr>
          <w:p w14:paraId="29A82EF8" w14:textId="77777777" w:rsidR="00A46B1D" w:rsidRDefault="00A46B1D" w:rsidP="00A55F66">
            <w:pPr>
              <w:jc w:val="both"/>
              <w:rPr>
                <w:rFonts w:ascii="Times" w:hAnsi="Times"/>
              </w:rPr>
            </w:pPr>
            <w:r>
              <w:rPr>
                <w:rFonts w:ascii="Times" w:hAnsi="Times"/>
              </w:rPr>
              <w:t>63</w:t>
            </w:r>
          </w:p>
        </w:tc>
      </w:tr>
      <w:tr w:rsidR="00A46B1D" w14:paraId="2CFA2E39"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BF" w:firstRow="1" w:lastRow="0" w:firstColumn="1" w:lastColumn="0" w:noHBand="0" w:noVBand="0"/>
        </w:tblPrEx>
        <w:tc>
          <w:tcPr>
            <w:tcW w:w="960" w:type="dxa"/>
          </w:tcPr>
          <w:p w14:paraId="14E4D025" w14:textId="77777777" w:rsidR="00A46B1D" w:rsidRDefault="00A46B1D" w:rsidP="00A55F66">
            <w:pPr>
              <w:jc w:val="both"/>
              <w:rPr>
                <w:rFonts w:ascii="Times" w:hAnsi="Times"/>
              </w:rPr>
            </w:pPr>
            <w:r>
              <w:rPr>
                <w:rFonts w:ascii="Times" w:hAnsi="Times"/>
              </w:rPr>
              <w:t>1888</w:t>
            </w:r>
          </w:p>
        </w:tc>
        <w:tc>
          <w:tcPr>
            <w:tcW w:w="964" w:type="dxa"/>
          </w:tcPr>
          <w:p w14:paraId="2911D06B" w14:textId="77777777" w:rsidR="00A46B1D" w:rsidRDefault="00A46B1D" w:rsidP="00A55F66">
            <w:pPr>
              <w:jc w:val="both"/>
              <w:rPr>
                <w:rFonts w:ascii="Times" w:hAnsi="Times"/>
              </w:rPr>
            </w:pPr>
            <w:r>
              <w:rPr>
                <w:rFonts w:ascii="Times" w:hAnsi="Times"/>
              </w:rPr>
              <w:t>207</w:t>
            </w:r>
          </w:p>
        </w:tc>
        <w:tc>
          <w:tcPr>
            <w:tcW w:w="696" w:type="dxa"/>
          </w:tcPr>
          <w:p w14:paraId="2B755C75" w14:textId="77777777" w:rsidR="00A46B1D" w:rsidRDefault="00A46B1D" w:rsidP="00A55F66">
            <w:pPr>
              <w:jc w:val="both"/>
              <w:rPr>
                <w:rFonts w:ascii="Times" w:hAnsi="Times"/>
              </w:rPr>
            </w:pPr>
            <w:r>
              <w:rPr>
                <w:rFonts w:ascii="Times" w:hAnsi="Times"/>
              </w:rPr>
              <w:t>129</w:t>
            </w:r>
          </w:p>
        </w:tc>
        <w:tc>
          <w:tcPr>
            <w:tcW w:w="749" w:type="dxa"/>
          </w:tcPr>
          <w:p w14:paraId="5068C833" w14:textId="77777777" w:rsidR="00A46B1D" w:rsidRDefault="00A46B1D" w:rsidP="00A55F66">
            <w:pPr>
              <w:jc w:val="both"/>
              <w:rPr>
                <w:rFonts w:ascii="Times" w:hAnsi="Times"/>
              </w:rPr>
            </w:pPr>
            <w:r>
              <w:rPr>
                <w:rFonts w:ascii="Times" w:hAnsi="Times"/>
              </w:rPr>
              <w:t>336</w:t>
            </w:r>
          </w:p>
        </w:tc>
        <w:tc>
          <w:tcPr>
            <w:tcW w:w="992" w:type="dxa"/>
          </w:tcPr>
          <w:p w14:paraId="5ED5223E" w14:textId="77777777" w:rsidR="00A46B1D" w:rsidRDefault="00A46B1D" w:rsidP="00A55F66">
            <w:pPr>
              <w:jc w:val="both"/>
              <w:rPr>
                <w:rFonts w:ascii="Times" w:hAnsi="Times"/>
              </w:rPr>
            </w:pPr>
            <w:r>
              <w:rPr>
                <w:rFonts w:ascii="Times" w:hAnsi="Times"/>
              </w:rPr>
              <w:t>47</w:t>
            </w:r>
          </w:p>
        </w:tc>
        <w:tc>
          <w:tcPr>
            <w:tcW w:w="709" w:type="dxa"/>
          </w:tcPr>
          <w:p w14:paraId="318F9CEF" w14:textId="77777777" w:rsidR="00A46B1D" w:rsidRDefault="00A46B1D" w:rsidP="00A55F66">
            <w:pPr>
              <w:jc w:val="both"/>
              <w:rPr>
                <w:rFonts w:ascii="Times" w:hAnsi="Times"/>
              </w:rPr>
            </w:pPr>
            <w:r>
              <w:rPr>
                <w:rFonts w:ascii="Times" w:hAnsi="Times"/>
              </w:rPr>
              <w:t>39</w:t>
            </w:r>
          </w:p>
        </w:tc>
        <w:tc>
          <w:tcPr>
            <w:tcW w:w="708" w:type="dxa"/>
          </w:tcPr>
          <w:p w14:paraId="6D8452B1" w14:textId="77777777" w:rsidR="00A46B1D" w:rsidRDefault="00A46B1D" w:rsidP="00A55F66">
            <w:pPr>
              <w:jc w:val="both"/>
              <w:rPr>
                <w:rFonts w:ascii="Times" w:hAnsi="Times"/>
              </w:rPr>
            </w:pPr>
            <w:r>
              <w:rPr>
                <w:rFonts w:ascii="Times" w:hAnsi="Times"/>
              </w:rPr>
              <w:t>86</w:t>
            </w:r>
          </w:p>
        </w:tc>
        <w:tc>
          <w:tcPr>
            <w:tcW w:w="851" w:type="dxa"/>
          </w:tcPr>
          <w:p w14:paraId="0865304A" w14:textId="77777777" w:rsidR="00A46B1D" w:rsidRDefault="00A46B1D" w:rsidP="00A55F66">
            <w:pPr>
              <w:jc w:val="both"/>
              <w:rPr>
                <w:rFonts w:ascii="Times" w:hAnsi="Times"/>
              </w:rPr>
            </w:pPr>
            <w:r>
              <w:rPr>
                <w:rFonts w:ascii="Times" w:hAnsi="Times"/>
              </w:rPr>
              <w:t>26</w:t>
            </w:r>
          </w:p>
        </w:tc>
      </w:tr>
      <w:tr w:rsidR="00A46B1D" w14:paraId="4E7E7E8F"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BF" w:firstRow="1" w:lastRow="0" w:firstColumn="1" w:lastColumn="0" w:noHBand="0" w:noVBand="0"/>
        </w:tblPrEx>
        <w:tc>
          <w:tcPr>
            <w:tcW w:w="960" w:type="dxa"/>
          </w:tcPr>
          <w:p w14:paraId="14CC020C" w14:textId="77777777" w:rsidR="00A46B1D" w:rsidRDefault="00A46B1D" w:rsidP="00A55F66">
            <w:pPr>
              <w:jc w:val="both"/>
              <w:rPr>
                <w:rFonts w:ascii="Times" w:hAnsi="Times"/>
              </w:rPr>
            </w:pPr>
            <w:r>
              <w:rPr>
                <w:rFonts w:ascii="Times" w:hAnsi="Times"/>
              </w:rPr>
              <w:t>1890</w:t>
            </w:r>
          </w:p>
        </w:tc>
        <w:tc>
          <w:tcPr>
            <w:tcW w:w="964" w:type="dxa"/>
          </w:tcPr>
          <w:p w14:paraId="717748D1" w14:textId="77777777" w:rsidR="00A46B1D" w:rsidRDefault="00A46B1D" w:rsidP="00A55F66">
            <w:pPr>
              <w:jc w:val="both"/>
              <w:rPr>
                <w:rFonts w:ascii="Times" w:hAnsi="Times"/>
              </w:rPr>
            </w:pPr>
          </w:p>
        </w:tc>
        <w:tc>
          <w:tcPr>
            <w:tcW w:w="696" w:type="dxa"/>
          </w:tcPr>
          <w:p w14:paraId="08317E8D" w14:textId="77777777" w:rsidR="00A46B1D" w:rsidRDefault="00A46B1D" w:rsidP="00A55F66">
            <w:pPr>
              <w:jc w:val="both"/>
              <w:rPr>
                <w:rFonts w:ascii="Times" w:hAnsi="Times"/>
              </w:rPr>
            </w:pPr>
          </w:p>
        </w:tc>
        <w:tc>
          <w:tcPr>
            <w:tcW w:w="749" w:type="dxa"/>
          </w:tcPr>
          <w:p w14:paraId="6DD0AE2D" w14:textId="77777777" w:rsidR="00A46B1D" w:rsidRDefault="00A46B1D" w:rsidP="00A55F66">
            <w:pPr>
              <w:jc w:val="both"/>
              <w:rPr>
                <w:rFonts w:ascii="Times" w:hAnsi="Times"/>
              </w:rPr>
            </w:pPr>
            <w:r>
              <w:rPr>
                <w:rFonts w:ascii="Times" w:hAnsi="Times"/>
              </w:rPr>
              <w:t>277</w:t>
            </w:r>
          </w:p>
        </w:tc>
        <w:tc>
          <w:tcPr>
            <w:tcW w:w="992" w:type="dxa"/>
          </w:tcPr>
          <w:p w14:paraId="79B6F512" w14:textId="77777777" w:rsidR="00A46B1D" w:rsidRDefault="00A46B1D" w:rsidP="00A55F66">
            <w:pPr>
              <w:jc w:val="both"/>
              <w:rPr>
                <w:rFonts w:ascii="Times" w:hAnsi="Times"/>
              </w:rPr>
            </w:pPr>
          </w:p>
        </w:tc>
        <w:tc>
          <w:tcPr>
            <w:tcW w:w="709" w:type="dxa"/>
          </w:tcPr>
          <w:p w14:paraId="7AE4B623" w14:textId="77777777" w:rsidR="00A46B1D" w:rsidRDefault="00A46B1D" w:rsidP="00A55F66">
            <w:pPr>
              <w:jc w:val="both"/>
              <w:rPr>
                <w:rFonts w:ascii="Times" w:hAnsi="Times"/>
              </w:rPr>
            </w:pPr>
          </w:p>
        </w:tc>
        <w:tc>
          <w:tcPr>
            <w:tcW w:w="708" w:type="dxa"/>
          </w:tcPr>
          <w:p w14:paraId="332C4DA2" w14:textId="77777777" w:rsidR="00A46B1D" w:rsidRDefault="00A46B1D" w:rsidP="00A55F66">
            <w:pPr>
              <w:jc w:val="both"/>
              <w:rPr>
                <w:rFonts w:ascii="Times" w:hAnsi="Times"/>
              </w:rPr>
            </w:pPr>
            <w:r>
              <w:rPr>
                <w:rFonts w:ascii="Times" w:hAnsi="Times"/>
              </w:rPr>
              <w:t>152</w:t>
            </w:r>
          </w:p>
        </w:tc>
        <w:tc>
          <w:tcPr>
            <w:tcW w:w="851" w:type="dxa"/>
          </w:tcPr>
          <w:p w14:paraId="45AB0F80" w14:textId="77777777" w:rsidR="00A46B1D" w:rsidRDefault="00A46B1D" w:rsidP="00A55F66">
            <w:pPr>
              <w:jc w:val="both"/>
              <w:rPr>
                <w:rFonts w:ascii="Times" w:hAnsi="Times"/>
              </w:rPr>
            </w:pPr>
            <w:r>
              <w:rPr>
                <w:rFonts w:ascii="Times" w:hAnsi="Times"/>
              </w:rPr>
              <w:t>55</w:t>
            </w:r>
          </w:p>
        </w:tc>
      </w:tr>
      <w:tr w:rsidR="00A46B1D" w14:paraId="60BA74B5" w14:textId="7777777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Look w:val="00BF" w:firstRow="1" w:lastRow="0" w:firstColumn="1" w:lastColumn="0" w:noHBand="0" w:noVBand="0"/>
        </w:tblPrEx>
        <w:tc>
          <w:tcPr>
            <w:tcW w:w="960" w:type="dxa"/>
          </w:tcPr>
          <w:p w14:paraId="65CA24B7" w14:textId="77777777" w:rsidR="00A46B1D" w:rsidRDefault="00A46B1D" w:rsidP="00A55F66">
            <w:pPr>
              <w:jc w:val="both"/>
              <w:rPr>
                <w:rFonts w:ascii="Times" w:hAnsi="Times"/>
              </w:rPr>
            </w:pPr>
            <w:r>
              <w:rPr>
                <w:rFonts w:ascii="Times" w:hAnsi="Times"/>
              </w:rPr>
              <w:t>1891</w:t>
            </w:r>
          </w:p>
        </w:tc>
        <w:tc>
          <w:tcPr>
            <w:tcW w:w="964" w:type="dxa"/>
          </w:tcPr>
          <w:p w14:paraId="16EF687C" w14:textId="77777777" w:rsidR="00A46B1D" w:rsidRDefault="00A46B1D" w:rsidP="00A55F66">
            <w:pPr>
              <w:jc w:val="both"/>
              <w:rPr>
                <w:rFonts w:ascii="Times" w:hAnsi="Times"/>
              </w:rPr>
            </w:pPr>
          </w:p>
        </w:tc>
        <w:tc>
          <w:tcPr>
            <w:tcW w:w="696" w:type="dxa"/>
          </w:tcPr>
          <w:p w14:paraId="79881504" w14:textId="77777777" w:rsidR="00A46B1D" w:rsidRDefault="00A46B1D" w:rsidP="00A55F66">
            <w:pPr>
              <w:jc w:val="both"/>
              <w:rPr>
                <w:rFonts w:ascii="Times" w:hAnsi="Times"/>
              </w:rPr>
            </w:pPr>
          </w:p>
        </w:tc>
        <w:tc>
          <w:tcPr>
            <w:tcW w:w="749" w:type="dxa"/>
          </w:tcPr>
          <w:p w14:paraId="749B2E97" w14:textId="77777777" w:rsidR="00A46B1D" w:rsidRDefault="00A46B1D" w:rsidP="00A55F66">
            <w:pPr>
              <w:jc w:val="both"/>
              <w:rPr>
                <w:rFonts w:ascii="Times" w:hAnsi="Times"/>
              </w:rPr>
            </w:pPr>
            <w:r>
              <w:rPr>
                <w:rFonts w:ascii="Times" w:hAnsi="Times"/>
              </w:rPr>
              <w:t>221</w:t>
            </w:r>
          </w:p>
        </w:tc>
        <w:tc>
          <w:tcPr>
            <w:tcW w:w="992" w:type="dxa"/>
          </w:tcPr>
          <w:p w14:paraId="005745AE" w14:textId="77777777" w:rsidR="00A46B1D" w:rsidRDefault="00A46B1D" w:rsidP="00A55F66">
            <w:pPr>
              <w:jc w:val="both"/>
              <w:rPr>
                <w:rFonts w:ascii="Times" w:hAnsi="Times"/>
              </w:rPr>
            </w:pPr>
          </w:p>
        </w:tc>
        <w:tc>
          <w:tcPr>
            <w:tcW w:w="709" w:type="dxa"/>
          </w:tcPr>
          <w:p w14:paraId="2F18CA33" w14:textId="77777777" w:rsidR="00A46B1D" w:rsidRDefault="00A46B1D" w:rsidP="00A55F66">
            <w:pPr>
              <w:jc w:val="both"/>
              <w:rPr>
                <w:rFonts w:ascii="Times" w:hAnsi="Times"/>
              </w:rPr>
            </w:pPr>
          </w:p>
        </w:tc>
        <w:tc>
          <w:tcPr>
            <w:tcW w:w="708" w:type="dxa"/>
          </w:tcPr>
          <w:p w14:paraId="6511E3E3" w14:textId="77777777" w:rsidR="00A46B1D" w:rsidRDefault="00A46B1D" w:rsidP="00A55F66">
            <w:pPr>
              <w:jc w:val="both"/>
              <w:rPr>
                <w:rFonts w:ascii="Times" w:hAnsi="Times"/>
              </w:rPr>
            </w:pPr>
            <w:r>
              <w:rPr>
                <w:rFonts w:ascii="Times" w:hAnsi="Times"/>
              </w:rPr>
              <w:t>109</w:t>
            </w:r>
          </w:p>
        </w:tc>
        <w:tc>
          <w:tcPr>
            <w:tcW w:w="851" w:type="dxa"/>
          </w:tcPr>
          <w:p w14:paraId="7A607020" w14:textId="77777777" w:rsidR="00A46B1D" w:rsidRDefault="00A46B1D" w:rsidP="00A55F66">
            <w:pPr>
              <w:jc w:val="both"/>
              <w:rPr>
                <w:rFonts w:ascii="Times" w:hAnsi="Times"/>
              </w:rPr>
            </w:pPr>
            <w:r>
              <w:rPr>
                <w:rFonts w:ascii="Times" w:hAnsi="Times"/>
              </w:rPr>
              <w:t>49</w:t>
            </w:r>
          </w:p>
        </w:tc>
      </w:tr>
    </w:tbl>
    <w:p w14:paraId="6C1C31F9" w14:textId="77777777" w:rsidR="00A46B1D" w:rsidRDefault="00A46B1D" w:rsidP="00A46B1D">
      <w:pPr>
        <w:jc w:val="both"/>
        <w:rPr>
          <w:rFonts w:ascii="Times" w:hAnsi="Times"/>
        </w:rPr>
      </w:pPr>
    </w:p>
    <w:p w14:paraId="10B5FEB8" w14:textId="77777777" w:rsidR="00586A58" w:rsidRDefault="00A46B1D" w:rsidP="00A46B1D">
      <w:pPr>
        <w:tabs>
          <w:tab w:val="left" w:pos="2667"/>
        </w:tabs>
        <w:ind w:firstLine="708"/>
        <w:rPr>
          <w:rFonts w:ascii="Times" w:hAnsi="Times"/>
        </w:rPr>
      </w:pPr>
      <w:r>
        <w:rPr>
          <w:rFonts w:ascii="Times" w:hAnsi="Times"/>
        </w:rPr>
        <w:br w:type="page"/>
      </w:r>
    </w:p>
    <w:p w14:paraId="30F983A1" w14:textId="77777777" w:rsidR="00586A58" w:rsidRPr="00EC3C04" w:rsidRDefault="00586A58" w:rsidP="00586A58">
      <w:pPr>
        <w:pBdr>
          <w:top w:val="single" w:sz="4" w:space="1" w:color="auto"/>
          <w:left w:val="single" w:sz="4" w:space="4" w:color="auto"/>
          <w:bottom w:val="single" w:sz="4" w:space="1" w:color="auto"/>
          <w:right w:val="single" w:sz="4" w:space="4" w:color="auto"/>
        </w:pBdr>
        <w:tabs>
          <w:tab w:val="left" w:pos="2667"/>
        </w:tabs>
        <w:rPr>
          <w:rFonts w:ascii="Times" w:hAnsi="Times"/>
        </w:rPr>
      </w:pPr>
      <w:r w:rsidRPr="00586A58">
        <w:rPr>
          <w:rFonts w:ascii="Times" w:hAnsi="Times"/>
        </w:rPr>
        <w:t xml:space="preserve">Rapport du consulat des Etats-Unis de la Martinique, 3 septembre 1940, cité par Eric Jennings, </w:t>
      </w:r>
      <w:r w:rsidRPr="00D71E88">
        <w:rPr>
          <w:rFonts w:ascii="Times" w:hAnsi="Times"/>
          <w:i/>
        </w:rPr>
        <w:t>Vichy sous les tropiques</w:t>
      </w:r>
      <w:r w:rsidRPr="00586A58">
        <w:rPr>
          <w:rFonts w:ascii="Times" w:hAnsi="Times"/>
        </w:rPr>
        <w:t xml:space="preserve">, Grasset, 2001. </w:t>
      </w:r>
    </w:p>
    <w:p w14:paraId="6F3B8676" w14:textId="77777777" w:rsidR="00586A58" w:rsidRDefault="00586A58" w:rsidP="00586A58">
      <w:pPr>
        <w:jc w:val="both"/>
        <w:rPr>
          <w:rFonts w:ascii="Times" w:hAnsi="Times"/>
          <w:i/>
          <w:iCs/>
        </w:rPr>
      </w:pPr>
      <w:r w:rsidRPr="00586A58">
        <w:rPr>
          <w:rFonts w:ascii="Times" w:hAnsi="Times"/>
          <w:i/>
          <w:iCs/>
        </w:rPr>
        <w:t> </w:t>
      </w:r>
      <w:r w:rsidRPr="00A46B1D">
        <w:rPr>
          <w:rFonts w:ascii="Times" w:hAnsi="Times"/>
          <w:iCs/>
        </w:rPr>
        <w:t>La faim, l’indignation, le mépris et le dégoût envers un gouvernement accusé de trahison, ont mené les habitants de la Guadeloupe à se tourner vers le seul espoir de protection contre les nazis, et leur unique chance de voir l’île approvisionnée en vivres : les Etats-Unis d’Amérique. Nous avons formé un comité de notables, mandaté par la population guadeloupéenne, qui a pris les positions suivantes : 1) de proclamer l’indépendance de la Guadeloupe.  2) de placer l’Etat libre guadeloupéen sous la tutelle américaine. Dès que le gouvernement américain enverra en Guadeloupe trois navires de guerre, et un bateau rempli de victuailles, le comité, dont je suis le président proclamera l’indépendance de l’île sous protectorat américain.</w:t>
      </w:r>
      <w:r w:rsidRPr="00586A58">
        <w:rPr>
          <w:rFonts w:ascii="Times" w:hAnsi="Times"/>
          <w:i/>
          <w:iCs/>
        </w:rPr>
        <w:t xml:space="preserve"> </w:t>
      </w:r>
    </w:p>
    <w:p w14:paraId="59A247F0" w14:textId="77777777" w:rsidR="00D71E88" w:rsidRDefault="00586A58" w:rsidP="00586A58">
      <w:pPr>
        <w:jc w:val="both"/>
        <w:rPr>
          <w:rFonts w:ascii="Times" w:hAnsi="Times"/>
        </w:rPr>
      </w:pPr>
      <w:r w:rsidRPr="00586A58">
        <w:rPr>
          <w:rFonts w:ascii="Times" w:hAnsi="Times"/>
          <w:i/>
          <w:iCs/>
        </w:rPr>
        <w:t>Signé à Fort-de-France, le 20 août 1940.</w:t>
      </w:r>
      <w:r w:rsidR="00A46B1D">
        <w:rPr>
          <w:rFonts w:ascii="Times" w:hAnsi="Times"/>
        </w:rPr>
        <w:t> </w:t>
      </w:r>
    </w:p>
    <w:p w14:paraId="41AEB1C2" w14:textId="77777777" w:rsidR="00A46B1D" w:rsidRDefault="00A46B1D" w:rsidP="00586A58">
      <w:pPr>
        <w:jc w:val="both"/>
        <w:rPr>
          <w:rFonts w:ascii="Times" w:hAnsi="Times"/>
        </w:rPr>
      </w:pPr>
    </w:p>
    <w:p w14:paraId="65E624B5" w14:textId="77777777" w:rsidR="00A46B1D" w:rsidRDefault="00D71E88" w:rsidP="00D71E88">
      <w:pPr>
        <w:pBdr>
          <w:top w:val="single" w:sz="4" w:space="1" w:color="auto"/>
          <w:left w:val="single" w:sz="4" w:space="4" w:color="auto"/>
          <w:bottom w:val="single" w:sz="4" w:space="1" w:color="auto"/>
          <w:right w:val="single" w:sz="4" w:space="4" w:color="auto"/>
        </w:pBdr>
        <w:rPr>
          <w:rFonts w:ascii="Times" w:hAnsi="Times"/>
        </w:rPr>
      </w:pPr>
      <w:r w:rsidRPr="00D71E88">
        <w:rPr>
          <w:rFonts w:ascii="Times" w:hAnsi="Times"/>
        </w:rPr>
        <w:t xml:space="preserve">Jean-Charles Timoléon, </w:t>
      </w:r>
      <w:r w:rsidRPr="00D71E88">
        <w:rPr>
          <w:rFonts w:ascii="Times" w:hAnsi="Times"/>
          <w:i/>
          <w:iCs/>
        </w:rPr>
        <w:t>Chronique du temps passé, Basse-Terre</w:t>
      </w:r>
      <w:r w:rsidRPr="00D71E88">
        <w:rPr>
          <w:rFonts w:ascii="Times" w:hAnsi="Times"/>
        </w:rPr>
        <w:t xml:space="preserve">, OMCS, 1987 cité par Eric Jennings, </w:t>
      </w:r>
      <w:r w:rsidRPr="00D71E88">
        <w:rPr>
          <w:rFonts w:ascii="Times" w:hAnsi="Times"/>
          <w:i/>
          <w:iCs/>
        </w:rPr>
        <w:t>Vichy sous les tropiques</w:t>
      </w:r>
      <w:r w:rsidRPr="00D71E88">
        <w:rPr>
          <w:rFonts w:ascii="Times" w:hAnsi="Times"/>
        </w:rPr>
        <w:t xml:space="preserve">, Grasset, 2001. </w:t>
      </w:r>
    </w:p>
    <w:p w14:paraId="491B2DA9" w14:textId="77777777" w:rsidR="00A46B1D" w:rsidRPr="00A46B1D" w:rsidRDefault="00A46B1D" w:rsidP="00A46B1D">
      <w:pPr>
        <w:jc w:val="both"/>
        <w:rPr>
          <w:rFonts w:ascii="Times" w:hAnsi="Times"/>
        </w:rPr>
      </w:pPr>
      <w:r w:rsidRPr="00A46B1D">
        <w:rPr>
          <w:rFonts w:ascii="Times" w:hAnsi="Times"/>
        </w:rPr>
        <w:t>Voici les raisons de mon départs : des bruits couraient sur l’arrivée en cachette de bonnets rouges appelés « chéchia » que portent les Sénégalais et les Arabes. De même qu’on disait que les usiniers faisaient planter du karata pour fabriquer des fouets pour les nègres. A la fin de la guerre, on rétablirait l’esclavage. Avec des amis, je discutais souvent de ce problème. Certains disaient que jamais on ne pourra rétablir l’esclavage en Guadeloupe, d’autres se basant sur l’idéologie raciste des nazis rétorquaient qu’en cas de victoire d’Hitler, c’était tout à fait possible. Un jour, revenant du travail sur l’habitation Vounon, nous avons vu deux gendarmes parlant au géreur devant la case de ce dernier. Quelques instants plus tard, le géreur nous rassembla tous, hommes et femmes. Les gendarmes relevèrent nos nom, prénom, âge et adresse. Ils nous demandèrent de signer un registre et nous donnèrent chacun un livret de travail. Au moment de signer j’avais demandé aux gendarmes les raisons de cette formalité et ils m’avaient répondu que nous ne pourrions quitter l’habitation qu’après avoir prévenu la gendarmerie. Cet événement confirma mes craintes et, arrivé dans la case que nous occupions, de déclarais à nos compagnons que durant l’esclavage c’était pareil : les esclaves n’avaient pas le droit de quitter l’habitation sur laquelle ils travaillaient. Tout le monde se plongea dans de nombreuses réflexions sur la signification de cette signature donnée. Le lendemain, à l’heure du départ pour les champs de cannes, Ambroise, un camarade de Pointe-à-Pitre et moi, nous nous déclarâmes malades.</w:t>
      </w:r>
    </w:p>
    <w:p w14:paraId="32B39A8A" w14:textId="77777777" w:rsidR="00586A58" w:rsidRPr="00586A58" w:rsidRDefault="00586A58" w:rsidP="00586A58">
      <w:pPr>
        <w:jc w:val="both"/>
        <w:rPr>
          <w:rFonts w:ascii="Times" w:hAnsi="Times"/>
        </w:rPr>
      </w:pPr>
    </w:p>
    <w:p w14:paraId="2F3C7A6C" w14:textId="77777777" w:rsidR="00B435AC" w:rsidRPr="00586A58" w:rsidRDefault="00B435AC" w:rsidP="00586A58">
      <w:pPr>
        <w:rPr>
          <w:rFonts w:ascii="Times" w:hAnsi="Times"/>
        </w:rPr>
      </w:pPr>
    </w:p>
    <w:sectPr w:rsidR="00B435AC" w:rsidRPr="00586A58" w:rsidSect="00B435AC">
      <w:footerReference w:type="even" r:id="rId12"/>
      <w:footerReference w:type="default" r:id="rId13"/>
      <w:pgSz w:w="11900" w:h="16840"/>
      <w:pgMar w:top="1134" w:right="1134" w:bottom="1134"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85B09" w14:textId="77777777" w:rsidR="00F239BB" w:rsidRDefault="00F239BB">
      <w:pPr>
        <w:spacing w:after="0"/>
      </w:pPr>
      <w:r>
        <w:separator/>
      </w:r>
    </w:p>
  </w:endnote>
  <w:endnote w:type="continuationSeparator" w:id="0">
    <w:p w14:paraId="41E65B21" w14:textId="77777777" w:rsidR="00F239BB" w:rsidRDefault="00F239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7FA68" w14:textId="77777777" w:rsidR="00F239BB" w:rsidRDefault="00F239BB" w:rsidP="00C907A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F5E364F" w14:textId="77777777" w:rsidR="00F239BB" w:rsidRDefault="00F239BB" w:rsidP="00485CF4">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1003A" w14:textId="77777777" w:rsidR="00F239BB" w:rsidRDefault="00F239BB" w:rsidP="00C907A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047C9">
      <w:rPr>
        <w:rStyle w:val="Numrodepage"/>
        <w:noProof/>
      </w:rPr>
      <w:t>1</w:t>
    </w:r>
    <w:r>
      <w:rPr>
        <w:rStyle w:val="Numrodepage"/>
      </w:rPr>
      <w:fldChar w:fldCharType="end"/>
    </w:r>
  </w:p>
  <w:p w14:paraId="7E526D16" w14:textId="77777777" w:rsidR="00F239BB" w:rsidRDefault="00F239BB" w:rsidP="00485CF4">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9C73E" w14:textId="77777777" w:rsidR="00F239BB" w:rsidRDefault="00F239BB">
      <w:pPr>
        <w:spacing w:after="0"/>
      </w:pPr>
      <w:r>
        <w:separator/>
      </w:r>
    </w:p>
  </w:footnote>
  <w:footnote w:type="continuationSeparator" w:id="0">
    <w:p w14:paraId="6B1B8DBB" w14:textId="77777777" w:rsidR="00F239BB" w:rsidRDefault="00F239B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B435AC"/>
    <w:rsid w:val="000047C9"/>
    <w:rsid w:val="00165430"/>
    <w:rsid w:val="00190F8B"/>
    <w:rsid w:val="001B72AC"/>
    <w:rsid w:val="001F5A46"/>
    <w:rsid w:val="0024560D"/>
    <w:rsid w:val="002522E3"/>
    <w:rsid w:val="00291A23"/>
    <w:rsid w:val="002F61B1"/>
    <w:rsid w:val="003A058E"/>
    <w:rsid w:val="00423F95"/>
    <w:rsid w:val="00485CF4"/>
    <w:rsid w:val="00507ADB"/>
    <w:rsid w:val="00586A58"/>
    <w:rsid w:val="005E2377"/>
    <w:rsid w:val="00662559"/>
    <w:rsid w:val="00687279"/>
    <w:rsid w:val="006C73B9"/>
    <w:rsid w:val="00713052"/>
    <w:rsid w:val="00714E77"/>
    <w:rsid w:val="007D67AD"/>
    <w:rsid w:val="007D6D68"/>
    <w:rsid w:val="00815CBC"/>
    <w:rsid w:val="00884EC1"/>
    <w:rsid w:val="0088724E"/>
    <w:rsid w:val="008C60BA"/>
    <w:rsid w:val="00933AD5"/>
    <w:rsid w:val="009357EF"/>
    <w:rsid w:val="0098554A"/>
    <w:rsid w:val="00A46B1D"/>
    <w:rsid w:val="00A55F66"/>
    <w:rsid w:val="00AF13D7"/>
    <w:rsid w:val="00B34B65"/>
    <w:rsid w:val="00B37119"/>
    <w:rsid w:val="00B435AC"/>
    <w:rsid w:val="00C907A0"/>
    <w:rsid w:val="00CB0F9D"/>
    <w:rsid w:val="00D04B47"/>
    <w:rsid w:val="00D71E88"/>
    <w:rsid w:val="00DF06C4"/>
    <w:rsid w:val="00E34921"/>
    <w:rsid w:val="00E43D0F"/>
    <w:rsid w:val="00E60035"/>
    <w:rsid w:val="00EC3C04"/>
    <w:rsid w:val="00F11742"/>
    <w:rsid w:val="00F239BB"/>
    <w:rsid w:val="00FA42C3"/>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32CA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E41C2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semiHidden/>
    <w:unhideWhenUsed/>
    <w:rsid w:val="00485CF4"/>
    <w:pPr>
      <w:tabs>
        <w:tab w:val="center" w:pos="4536"/>
        <w:tab w:val="right" w:pos="9072"/>
      </w:tabs>
      <w:spacing w:after="0"/>
    </w:pPr>
  </w:style>
  <w:style w:type="character" w:customStyle="1" w:styleId="PieddepageCar">
    <w:name w:val="Pied de page Car"/>
    <w:basedOn w:val="Policepardfaut"/>
    <w:link w:val="Pieddepage"/>
    <w:uiPriority w:val="99"/>
    <w:semiHidden/>
    <w:rsid w:val="00485CF4"/>
    <w:rPr>
      <w:sz w:val="24"/>
      <w:szCs w:val="24"/>
    </w:rPr>
  </w:style>
  <w:style w:type="character" w:styleId="Numrodepage">
    <w:name w:val="page number"/>
    <w:basedOn w:val="Policepardfaut"/>
    <w:uiPriority w:val="99"/>
    <w:semiHidden/>
    <w:unhideWhenUsed/>
    <w:rsid w:val="00485CF4"/>
  </w:style>
  <w:style w:type="paragraph" w:styleId="NormalWeb">
    <w:name w:val="Normal (Web)"/>
    <w:basedOn w:val="Normal"/>
    <w:uiPriority w:val="99"/>
    <w:rsid w:val="00DF06C4"/>
    <w:pPr>
      <w:spacing w:beforeLines="1" w:afterLines="1"/>
    </w:pPr>
    <w:rPr>
      <w:rFonts w:ascii="Times" w:hAnsi="Times" w:cs="Times New Roman"/>
      <w:sz w:val="20"/>
      <w:szCs w:val="20"/>
      <w:lang w:eastAsia="fr-FR"/>
    </w:rPr>
  </w:style>
  <w:style w:type="table" w:styleId="Grille">
    <w:name w:val="Table Grid"/>
    <w:basedOn w:val="TableauNormal"/>
    <w:rsid w:val="001B72AC"/>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rsid w:val="00F239BB"/>
    <w:pPr>
      <w:spacing w:after="0"/>
    </w:pPr>
    <w:rPr>
      <w:rFonts w:ascii="Lucida Grande" w:hAnsi="Lucida Grande"/>
      <w:sz w:val="18"/>
      <w:szCs w:val="18"/>
    </w:rPr>
  </w:style>
  <w:style w:type="character" w:customStyle="1" w:styleId="TextedebullesCar">
    <w:name w:val="Texte de bulles Car"/>
    <w:basedOn w:val="Policepardfaut"/>
    <w:link w:val="Textedebulles"/>
    <w:rsid w:val="00F239B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707071">
      <w:bodyDiv w:val="1"/>
      <w:marLeft w:val="0"/>
      <w:marRight w:val="0"/>
      <w:marTop w:val="0"/>
      <w:marBottom w:val="0"/>
      <w:divBdr>
        <w:top w:val="none" w:sz="0" w:space="0" w:color="auto"/>
        <w:left w:val="none" w:sz="0" w:space="0" w:color="auto"/>
        <w:bottom w:val="none" w:sz="0" w:space="0" w:color="auto"/>
        <w:right w:val="none" w:sz="0" w:space="0" w:color="auto"/>
      </w:divBdr>
    </w:div>
    <w:div w:id="900822334">
      <w:bodyDiv w:val="1"/>
      <w:marLeft w:val="0"/>
      <w:marRight w:val="0"/>
      <w:marTop w:val="0"/>
      <w:marBottom w:val="0"/>
      <w:divBdr>
        <w:top w:val="none" w:sz="0" w:space="0" w:color="auto"/>
        <w:left w:val="none" w:sz="0" w:space="0" w:color="auto"/>
        <w:bottom w:val="none" w:sz="0" w:space="0" w:color="auto"/>
        <w:right w:val="none" w:sz="0" w:space="0" w:color="auto"/>
      </w:divBdr>
    </w:div>
    <w:div w:id="1582643718">
      <w:bodyDiv w:val="1"/>
      <w:marLeft w:val="0"/>
      <w:marRight w:val="0"/>
      <w:marTop w:val="0"/>
      <w:marBottom w:val="0"/>
      <w:divBdr>
        <w:top w:val="none" w:sz="0" w:space="0" w:color="auto"/>
        <w:left w:val="none" w:sz="0" w:space="0" w:color="auto"/>
        <w:bottom w:val="none" w:sz="0" w:space="0" w:color="auto"/>
        <w:right w:val="none" w:sz="0" w:space="0" w:color="auto"/>
      </w:divBdr>
    </w:div>
    <w:div w:id="19354366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9</Pages>
  <Words>1959</Words>
  <Characters>10775</Characters>
  <Application>Microsoft Macintosh Word</Application>
  <DocSecurity>0</DocSecurity>
  <Lines>89</Lines>
  <Paragraphs>25</Paragraphs>
  <ScaleCrop>false</ScaleCrop>
  <Company/>
  <LinksUpToDate>false</LinksUpToDate>
  <CharactersWithSpaces>12709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PY Fatima</cp:lastModifiedBy>
  <cp:revision>22</cp:revision>
  <cp:lastPrinted>2015-02-05T02:01:00Z</cp:lastPrinted>
  <dcterms:created xsi:type="dcterms:W3CDTF">2015-02-04T21:41:00Z</dcterms:created>
  <dcterms:modified xsi:type="dcterms:W3CDTF">2015-02-09T19:26:00Z</dcterms:modified>
</cp:coreProperties>
</file>