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line">
              <wp:posOffset>-232409</wp:posOffset>
            </wp:positionV>
            <wp:extent cx="1461136" cy="803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7_logo_REGIONS%20ACA_GUADELOUP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6" cy="80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                                      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 xml:space="preserve">DOCUMENT DE SUIVI  DE LA MISE EN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>Œ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>UVRE  DU CDO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                                       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BILAN DU NIVEAU D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ACQUITION DES COMPETENCES  EN FORMATION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Titre A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NOM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                                                   PRENOM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                                                                               CLASSE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 xml:space="preserve">: 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Ann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e scolaire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……………                                                                                                                   </w:t>
      </w:r>
      <w:r>
        <w:rPr>
          <w:rFonts w:ascii="Arial" w:hAnsi="Arial"/>
          <w:b w:val="1"/>
          <w:bCs w:val="1"/>
          <w:rtl w:val="0"/>
          <w:lang w:val="fr-FR"/>
        </w:rPr>
        <w:t>PERIODE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vertAlign w:val="superscript"/>
          <w:rtl w:val="0"/>
          <w:lang w:val="fr-FR"/>
        </w:rPr>
        <w:t>(1)</w:t>
      </w:r>
      <w:r>
        <w:rPr>
          <w:rFonts w:ascii="Arial" w:hAnsi="Arial"/>
          <w:b w:val="1"/>
          <w:bCs w:val="1"/>
          <w:rtl w:val="0"/>
          <w:lang w:val="fr-FR"/>
        </w:rPr>
        <w:t xml:space="preserve">:                                                                             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4"/>
          <w:szCs w:val="24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e chef-d</w:t>
      </w:r>
      <w:r>
        <w:rPr>
          <w:sz w:val="20"/>
          <w:szCs w:val="20"/>
          <w:rtl w:val="0"/>
          <w:lang w:val="fr-FR"/>
        </w:rPr>
        <w:t>’œ</w:t>
      </w:r>
      <w:r>
        <w:rPr>
          <w:sz w:val="20"/>
          <w:szCs w:val="20"/>
          <w:rtl w:val="0"/>
          <w:lang w:val="fr-FR"/>
        </w:rPr>
        <w:t xml:space="preserve">uvre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tant pluridisciplinaire, les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valuations dont il fera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objet doivent recouvrir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la fois les comp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tences relevant des programmes enseignement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ral et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enseignement professionnel pour la premi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re phase d</w:t>
      </w:r>
      <w:r>
        <w:rPr>
          <w:sz w:val="20"/>
          <w:szCs w:val="20"/>
          <w:rtl w:val="0"/>
          <w:lang w:val="fr-FR"/>
        </w:rPr>
        <w:t>’é</w:t>
      </w:r>
      <w:r>
        <w:rPr>
          <w:sz w:val="20"/>
          <w:szCs w:val="20"/>
          <w:rtl w:val="0"/>
          <w:lang w:val="fr-FR"/>
        </w:rPr>
        <w:t>valuation qui se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roule tout au long du projet.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C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est autant la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marche que la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alisation elle-m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me que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on doit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valuer. Cette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valuation formative cherche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 xml:space="preserve">guider,  conseiller  les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ves en vue de faciliter les progr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 xml:space="preserve">s  dans la mise en </w:t>
      </w:r>
      <w:r>
        <w:rPr>
          <w:sz w:val="20"/>
          <w:szCs w:val="20"/>
          <w:rtl w:val="0"/>
          <w:lang w:val="fr-FR"/>
        </w:rPr>
        <w:t>œ</w:t>
      </w:r>
      <w:r>
        <w:rPr>
          <w:sz w:val="20"/>
          <w:szCs w:val="20"/>
          <w:rtl w:val="0"/>
          <w:lang w:val="fr-FR"/>
        </w:rPr>
        <w:t>uvre du chef d</w:t>
      </w:r>
      <w:r>
        <w:rPr>
          <w:sz w:val="20"/>
          <w:szCs w:val="20"/>
          <w:rtl w:val="0"/>
          <w:lang w:val="fr-FR"/>
        </w:rPr>
        <w:t>’œ</w:t>
      </w:r>
      <w:r>
        <w:rPr>
          <w:sz w:val="20"/>
          <w:szCs w:val="20"/>
          <w:rtl w:val="0"/>
          <w:lang w:val="fr-FR"/>
        </w:rPr>
        <w:t>uvre. L</w:t>
      </w:r>
      <w:r>
        <w:rPr>
          <w:sz w:val="20"/>
          <w:szCs w:val="20"/>
          <w:rtl w:val="0"/>
          <w:lang w:val="fr-FR"/>
        </w:rPr>
        <w:t>’é</w:t>
      </w:r>
      <w:r>
        <w:rPr>
          <w:sz w:val="20"/>
          <w:szCs w:val="20"/>
          <w:rtl w:val="0"/>
          <w:lang w:val="fr-FR"/>
        </w:rPr>
        <w:t xml:space="preserve">valuation formative vise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galement un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ajustement des strat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gies adopt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es.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’é</w:t>
      </w:r>
      <w:r>
        <w:rPr>
          <w:sz w:val="20"/>
          <w:szCs w:val="20"/>
          <w:rtl w:val="0"/>
          <w:lang w:val="fr-FR"/>
        </w:rPr>
        <w:t>valuation formative repose sur le postulat de la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flexivit</w:t>
      </w:r>
      <w:r>
        <w:rPr>
          <w:sz w:val="20"/>
          <w:szCs w:val="20"/>
          <w:rtl w:val="0"/>
          <w:lang w:val="fr-FR"/>
        </w:rPr>
        <w:t xml:space="preserve">é  </w:t>
      </w:r>
      <w:r>
        <w:rPr>
          <w:sz w:val="20"/>
          <w:szCs w:val="20"/>
          <w:rtl w:val="0"/>
          <w:lang w:val="fr-FR"/>
        </w:rPr>
        <w:t>et sur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exploitation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erreur comme source de progr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s.</w:t>
      </w:r>
    </w:p>
    <w:p>
      <w:pPr>
        <w:pStyle w:val="Normal.0"/>
        <w:spacing w:after="0" w:line="240" w:lineRule="auto"/>
      </w:pPr>
    </w:p>
    <w:tbl>
      <w:tblPr>
        <w:tblW w:w="154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3355"/>
        <w:gridCol w:w="4819"/>
        <w:gridCol w:w="709"/>
        <w:gridCol w:w="850"/>
        <w:gridCol w:w="851"/>
        <w:gridCol w:w="3260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</w:t>
            </w:r>
          </w:p>
        </w:tc>
        <w:tc>
          <w:tcPr>
            <w:tcW w:type="dxa" w:w="33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 Comp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tences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Aptitude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à </w:t>
            </w:r>
          </w:p>
        </w:tc>
        <w:tc>
          <w:tcPr>
            <w:tcW w:type="dxa" w:w="24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Niveau</w:t>
            </w:r>
            <w:r>
              <w:rPr>
                <w:b w:val="1"/>
                <w:bCs w:val="1"/>
                <w:sz w:val="18"/>
                <w:szCs w:val="18"/>
                <w:vertAlign w:val="superscript"/>
                <w:rtl w:val="0"/>
                <w:lang w:val="fr-FR"/>
              </w:rPr>
              <w:t>(2)</w:t>
            </w:r>
          </w:p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Remarques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NA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EC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A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36" w:hRule="atLeast"/>
        </w:trPr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fr-FR"/>
              </w:rPr>
              <w:t>Organisationnel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Mobiliser des savoirs faire et des savoirs au service de la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alisation du chef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oeuvre 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reformuler ce que l'on vient d'apprendre et expliquer ce que l'on vient de faire, conform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ment au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rentiels et programmes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effectuer une recherche et confronter des informations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mobiliser ses connaissances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formaliser ses connaissances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utiliser ses connaissances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senter et transcrire un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sultat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parer seul son travail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partir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protocole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parer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 xml:space="preserve">plusieurs son travail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partir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protocole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Mobiliser parall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lement les ressources internes ou externes 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cessaires  (partenaires, moyens,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quipements ..etc)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14"/>
                <w:szCs w:val="14"/>
                <w:lang w:val="fr-FR"/>
              </w:rPr>
            </w:r>
          </w:p>
        </w:tc>
        <w:tc>
          <w:tcPr>
            <w:tcW w:type="dxa" w:w="4819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-identifier une situation,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rents syst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mes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comprendre une consigne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exploiter une situation, un  document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-faire des choix et </w:t>
            </w:r>
            <w:r>
              <w:rPr>
                <w:sz w:val="18"/>
                <w:szCs w:val="18"/>
                <w:rtl w:val="0"/>
                <w:lang w:val="fr-FR"/>
              </w:rPr>
              <w:t>à é</w:t>
            </w:r>
            <w:r>
              <w:rPr>
                <w:sz w:val="18"/>
                <w:szCs w:val="18"/>
                <w:rtl w:val="0"/>
                <w:lang w:val="fr-FR"/>
              </w:rPr>
              <w:t>valuer des besoins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mettre en </w:t>
            </w:r>
            <w:r>
              <w:rPr>
                <w:sz w:val="18"/>
                <w:szCs w:val="18"/>
                <w:rtl w:val="0"/>
                <w:lang w:val="fr-FR"/>
              </w:rPr>
              <w:t>œ</w:t>
            </w:r>
            <w:r>
              <w:rPr>
                <w:sz w:val="18"/>
                <w:szCs w:val="18"/>
                <w:rtl w:val="0"/>
                <w:lang w:val="fr-FR"/>
              </w:rPr>
              <w:t>uvre des proc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dures et consignes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aliser une repr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sentation graphique et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exploiter  - effectuer des calculs statistiques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709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organiser pour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partir la charge de travail induite par 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laboration de son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il est individuel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Savoir situer sa part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intervention dans la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marche conduisant au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il est collectif</w:t>
            </w:r>
          </w:p>
        </w:tc>
        <w:tc>
          <w:tcPr>
            <w:tcW w:type="dxa" w:w="4819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-travailler collectivement et en collaboration - faire des choix pertinents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organisation du travail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prendre des Initiatives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avoir un comportement responsable face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situation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-respecter le travail des autres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-respecter le point de vue des autres</w:t>
            </w:r>
          </w:p>
        </w:tc>
        <w:tc>
          <w:tcPr>
            <w:tcW w:type="dxa" w:w="709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</w:pPr>
    </w:p>
    <w:p>
      <w:pPr>
        <w:pStyle w:val="Normal.0"/>
      </w:pPr>
    </w:p>
    <w:tbl>
      <w:tblPr>
        <w:tblW w:w="155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8"/>
        <w:gridCol w:w="3378"/>
        <w:gridCol w:w="4849"/>
        <w:gridCol w:w="714"/>
        <w:gridCol w:w="856"/>
        <w:gridCol w:w="856"/>
        <w:gridCol w:w="3281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</w:t>
            </w:r>
          </w:p>
        </w:tc>
        <w:tc>
          <w:tcPr>
            <w:tcW w:type="dxa" w:w="33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 Comp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tences</w:t>
            </w:r>
          </w:p>
        </w:tc>
        <w:tc>
          <w:tcPr>
            <w:tcW w:type="dxa" w:w="48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Aptitude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à </w:t>
            </w:r>
          </w:p>
        </w:tc>
        <w:tc>
          <w:tcPr>
            <w:tcW w:type="dxa" w:w="24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Niveau </w:t>
            </w:r>
            <w:r>
              <w:rPr>
                <w:b w:val="1"/>
                <w:bCs w:val="1"/>
                <w:sz w:val="18"/>
                <w:szCs w:val="18"/>
                <w:vertAlign w:val="superscript"/>
                <w:rtl w:val="0"/>
                <w:lang w:val="fr-FR"/>
              </w:rPr>
              <w:t>(2)</w:t>
            </w:r>
          </w:p>
        </w:tc>
        <w:tc>
          <w:tcPr>
            <w:tcW w:type="dxa" w:w="32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Remarques 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NA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EC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A</w:t>
            </w:r>
          </w:p>
        </w:tc>
        <w:tc>
          <w:tcPr>
            <w:tcW w:type="dxa" w:w="32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flexif</w:t>
            </w:r>
          </w:p>
        </w:tc>
        <w:tc>
          <w:tcPr>
            <w:tcW w:type="dxa" w:w="3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Identifier, rep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rer, formaliser ou valoriser ses comp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tences professionnelles et g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rales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impliquer, prendre des responsabilit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 et des initiatives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Pers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rance et capacit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de motivation, voire de rebond, au long du projet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</w:p>
        </w:tc>
        <w:tc>
          <w:tcPr>
            <w:tcW w:type="dxa" w:w="4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valuer son travail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explorer sa personnalit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 xml:space="preserve">exprimer ses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motions, ses 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confronter ses 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construire des interactions dans un groupe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se dire,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expliquer,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impliquer et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engager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identifier ses go</w:t>
            </w:r>
            <w:r>
              <w:rPr>
                <w:sz w:val="18"/>
                <w:szCs w:val="18"/>
                <w:rtl w:val="0"/>
                <w:lang w:val="fr-FR"/>
              </w:rPr>
              <w:t>û</w:t>
            </w:r>
            <w:r>
              <w:rPr>
                <w:sz w:val="18"/>
                <w:szCs w:val="18"/>
                <w:rtl w:val="0"/>
                <w:lang w:val="fr-FR"/>
              </w:rPr>
              <w:t>ts et ses int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ts, ses aptitudes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Communicationnel</w:t>
            </w:r>
          </w:p>
        </w:tc>
        <w:tc>
          <w:tcPr>
            <w:tcW w:type="dxa" w:w="3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tences relationnelles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Prendre le temps de restituer un bilan de 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tat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avancement du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4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 organiser des informations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restituer des informations avec un vocabulaire sp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cifique et adapt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à </w:t>
            </w:r>
            <w:r>
              <w:rPr>
                <w:sz w:val="18"/>
                <w:szCs w:val="18"/>
                <w:rtl w:val="0"/>
                <w:lang w:val="fr-FR"/>
              </w:rPr>
              <w:t xml:space="preserve">la situation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oral (parler face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 groupe)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restituer des informations avec un vocabulaire sp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cifique et adapt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à </w:t>
            </w:r>
            <w:r>
              <w:rPr>
                <w:sz w:val="18"/>
                <w:szCs w:val="18"/>
                <w:rtl w:val="0"/>
                <w:lang w:val="fr-FR"/>
              </w:rPr>
              <w:t xml:space="preserve">la situation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crit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tre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actif, entrer et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impliquer dans des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changes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adpater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situation non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vue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prendre conscience des usages personnels et sociaux de la langue, les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utiliser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sumer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l'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crit,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l'oral l'id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 essentielle d'un document ou lui donner un titre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line">
                  <wp:posOffset>59689</wp:posOffset>
                </wp:positionV>
                <wp:extent cx="9817101" cy="19151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1" cy="1915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 xml:space="preserve">Commentaires visant </w:t>
                            </w:r>
                            <w:r>
                              <w:rPr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</w:rPr>
                              <w:t>aider l</w:t>
                            </w:r>
                            <w:r>
                              <w:rPr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tl w:val="0"/>
                              </w:rPr>
                              <w:t>l</w:t>
                            </w:r>
                            <w:r>
                              <w:rPr>
                                <w:rtl w:val="0"/>
                              </w:rPr>
                              <w:t>è</w:t>
                            </w:r>
                            <w:r>
                              <w:rPr>
                                <w:rtl w:val="0"/>
                              </w:rPr>
                              <w:t xml:space="preserve">ve </w:t>
                            </w:r>
                            <w:r>
                              <w:rPr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</w:rPr>
                              <w:t>progresser dans l</w:t>
                            </w:r>
                            <w:r>
                              <w:rPr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tl w:val="0"/>
                              </w:rPr>
                              <w:t>volution de ses activit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.8pt;margin-top:4.7pt;width:773.0pt;height:15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Commentaires visant </w:t>
                      </w:r>
                      <w:r>
                        <w:rPr>
                          <w:rtl w:val="0"/>
                        </w:rPr>
                        <w:t xml:space="preserve">à </w:t>
                      </w:r>
                      <w:r>
                        <w:rPr>
                          <w:rtl w:val="0"/>
                        </w:rPr>
                        <w:t>aider l</w:t>
                      </w:r>
                      <w:r>
                        <w:rPr>
                          <w:rtl w:val="0"/>
                        </w:rPr>
                        <w:t>’é</w:t>
                      </w:r>
                      <w:r>
                        <w:rPr>
                          <w:rtl w:val="0"/>
                        </w:rPr>
                        <w:t>l</w:t>
                      </w:r>
                      <w:r>
                        <w:rPr>
                          <w:rtl w:val="0"/>
                        </w:rPr>
                        <w:t>è</w:t>
                      </w:r>
                      <w:r>
                        <w:rPr>
                          <w:rtl w:val="0"/>
                        </w:rPr>
                        <w:t xml:space="preserve">ve </w:t>
                      </w:r>
                      <w:r>
                        <w:rPr>
                          <w:rtl w:val="0"/>
                        </w:rPr>
                        <w:t xml:space="preserve">à </w:t>
                      </w:r>
                      <w:r>
                        <w:rPr>
                          <w:rtl w:val="0"/>
                        </w:rPr>
                        <w:t>progresser dans l</w:t>
                      </w:r>
                      <w:r>
                        <w:rPr>
                          <w:rtl w:val="0"/>
                        </w:rPr>
                        <w:t>’é</w:t>
                      </w:r>
                      <w:r>
                        <w:rPr>
                          <w:rtl w:val="0"/>
                        </w:rPr>
                        <w:t>volution de ses activit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</w:p>
    <w:p>
      <w:pPr>
        <w:pStyle w:val="Normal.0"/>
        <w:spacing w:after="0" w:line="240" w:lineRule="auto"/>
        <w:ind w:left="360" w:firstLine="0"/>
      </w:pPr>
      <w:r>
        <w:rPr>
          <w:rtl w:val="0"/>
          <w:lang w:val="fr-FR"/>
        </w:rPr>
        <w:t xml:space="preserve">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valuations se fajt sur la base des rencontres individuelles 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et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dans les disciplines. </w:t>
      </w:r>
    </w:p>
    <w:p>
      <w:pPr>
        <w:pStyle w:val="Normal.0"/>
        <w:spacing w:after="0" w:line="240" w:lineRule="auto"/>
        <w:ind w:left="360" w:firstLine="0"/>
      </w:pPr>
      <w:r>
        <w:rPr>
          <w:rtl w:val="0"/>
          <w:lang w:val="fr-FR"/>
        </w:rPr>
        <w:t>Elle  permet de faire le point sur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avancement du travail, de discuter des facilit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des freins rencontr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Ce qui permet notamment de mettre en valeur les nouvelles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acquises et celles encore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rir.</w:t>
      </w:r>
    </w:p>
    <w:p>
      <w:pPr>
        <w:pStyle w:val="Normal.0"/>
        <w:spacing w:after="0" w:line="240" w:lineRule="auto"/>
        <w:ind w:left="360" w:firstLine="0"/>
        <w:rPr>
          <w:sz w:val="18"/>
          <w:szCs w:val="18"/>
        </w:rPr>
      </w:pPr>
    </w:p>
    <w:p>
      <w:pPr>
        <w:pStyle w:val="Normal.0"/>
        <w:spacing w:after="0" w:line="240" w:lineRule="auto"/>
        <w:ind w:left="360" w:firstLine="0"/>
        <w:rPr>
          <w:sz w:val="18"/>
          <w:szCs w:val="1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fr-FR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>: Il est conseill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fr-FR"/>
        </w:rPr>
        <w:t>de faire un bilan bi-menseul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fr-FR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>:  Pour chaque comp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tence, l</w:t>
      </w:r>
      <w:r>
        <w:rPr>
          <w:sz w:val="18"/>
          <w:szCs w:val="18"/>
          <w:rtl w:val="0"/>
          <w:lang w:val="fr-FR"/>
        </w:rPr>
        <w:t>’é</w:t>
      </w:r>
      <w:r>
        <w:rPr>
          <w:sz w:val="18"/>
          <w:szCs w:val="18"/>
          <w:rtl w:val="0"/>
          <w:lang w:val="fr-FR"/>
        </w:rPr>
        <w:t xml:space="preserve">valuateur indiquera le niveau atteint </w:t>
      </w:r>
      <w:r>
        <w:rPr>
          <w:sz w:val="18"/>
          <w:szCs w:val="18"/>
          <w:rtl w:val="0"/>
          <w:lang w:val="fr-FR"/>
        </w:rPr>
        <w:t xml:space="preserve">à </w:t>
      </w:r>
      <w:r>
        <w:rPr>
          <w:sz w:val="18"/>
          <w:szCs w:val="18"/>
          <w:rtl w:val="0"/>
          <w:lang w:val="fr-FR"/>
        </w:rPr>
        <w:t>l</w:t>
      </w:r>
      <w:r>
        <w:rPr>
          <w:sz w:val="18"/>
          <w:szCs w:val="18"/>
          <w:rtl w:val="0"/>
          <w:lang w:val="fr-FR"/>
        </w:rPr>
        <w:t>’</w:t>
      </w:r>
      <w:r>
        <w:rPr>
          <w:sz w:val="18"/>
          <w:szCs w:val="18"/>
          <w:rtl w:val="0"/>
          <w:lang w:val="fr-FR"/>
        </w:rPr>
        <w:t>aptitude en pr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cisant la date du bilan</w:t>
      </w:r>
    </w:p>
    <w:p>
      <w:pPr>
        <w:pStyle w:val="Normal.0"/>
        <w:spacing w:after="0" w:line="240" w:lineRule="auto"/>
        <w:ind w:left="360" w:firstLine="0"/>
      </w:pPr>
      <w:r/>
    </w:p>
    <w:sectPr>
      <w:headerReference w:type="default" r:id="rId5"/>
      <w:footerReference w:type="default" r:id="rId6"/>
      <w:pgSz w:w="16840" w:h="11900" w:orient="landscape"/>
      <w:pgMar w:top="568" w:right="538" w:bottom="142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nothing"/>
      <w:lvlText w:val="(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6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368"/>
        </w:tabs>
        <w:ind w:left="2588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0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808"/>
        </w:tabs>
        <w:ind w:left="4028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528"/>
        </w:tabs>
        <w:ind w:left="4748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248"/>
        </w:tabs>
        <w:ind w:left="5468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968"/>
        </w:tabs>
        <w:ind w:left="6188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88"/>
        </w:tabs>
        <w:ind w:left="6908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