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870B1" w:rsidRPr="009870B1" w:rsidRDefault="009870B1" w:rsidP="009870B1">
      <w:pPr>
        <w:spacing w:after="0" w:line="240" w:lineRule="auto"/>
        <w:rPr>
          <w:rFonts w:cstheme="minorHAnsi"/>
          <w:b/>
          <w:u w:val="single"/>
        </w:rPr>
      </w:pPr>
      <w:r w:rsidRPr="009870B1">
        <w:rPr>
          <w:rFonts w:cstheme="minorHAnsi"/>
          <w:b/>
          <w:u w:val="single"/>
        </w:rPr>
        <w:t>Piste d’approfondissement n°1, à mener en classe, en amont ou en aval de la visite de l’exposition</w:t>
      </w:r>
    </w:p>
    <w:p w:rsidR="009870B1" w:rsidRPr="009870B1" w:rsidRDefault="009870B1" w:rsidP="009870B1">
      <w:pPr>
        <w:spacing w:after="0" w:line="240" w:lineRule="auto"/>
        <w:rPr>
          <w:rFonts w:cstheme="minorHAnsi"/>
          <w:b/>
        </w:rPr>
      </w:pPr>
      <w:r w:rsidRPr="009870B1">
        <w:rPr>
          <w:rFonts w:cstheme="minorHAnsi"/>
          <w:b/>
        </w:rPr>
        <w:sym w:font="Wingdings" w:char="F0E0"/>
      </w:r>
      <w:r w:rsidRPr="009870B1">
        <w:rPr>
          <w:rFonts w:cstheme="minorHAnsi"/>
          <w:b/>
        </w:rPr>
        <w:t xml:space="preserve"> A travers le parcours de soldats guadeloupéens, qui ont survécu aux combats de la Première Guerre mondiale, étudier la Grande Guerre </w:t>
      </w:r>
    </w:p>
    <w:p w:rsidR="009870B1" w:rsidRPr="009870B1" w:rsidRDefault="009870B1" w:rsidP="009870B1">
      <w:pPr>
        <w:spacing w:after="0" w:line="240" w:lineRule="auto"/>
        <w:rPr>
          <w:rFonts w:cstheme="minorHAnsi"/>
          <w:b/>
          <w:sz w:val="20"/>
          <w:szCs w:val="20"/>
        </w:rPr>
      </w:pPr>
    </w:p>
    <w:p w:rsidR="009870B1" w:rsidRPr="009870B1" w:rsidRDefault="009870B1" w:rsidP="009870B1">
      <w:pPr>
        <w:spacing w:after="0" w:line="240" w:lineRule="auto"/>
        <w:ind w:firstLine="708"/>
        <w:jc w:val="both"/>
        <w:rPr>
          <w:rFonts w:cstheme="minorHAnsi"/>
        </w:rPr>
      </w:pPr>
      <w:r w:rsidRPr="009870B1">
        <w:rPr>
          <w:rFonts w:cstheme="minorHAnsi"/>
        </w:rPr>
        <w:t>L’exemple d’activité proposée ici en classe de 3</w:t>
      </w:r>
      <w:r w:rsidRPr="009870B1">
        <w:rPr>
          <w:rFonts w:cstheme="minorHAnsi"/>
          <w:vertAlign w:val="superscript"/>
        </w:rPr>
        <w:t>e</w:t>
      </w:r>
      <w:r w:rsidRPr="009870B1">
        <w:rPr>
          <w:rFonts w:cstheme="minorHAnsi"/>
        </w:rPr>
        <w:t xml:space="preserve"> a pour principal objectif d’étudier les parcours des soldats guadeloupéens. Elle s’inscrit dans la question 1 du thème 1 du programme d’Histoire (« Civils et militaires dans la première guerre mondiale »), après une séance introductive mettant en place les grands repères chronologiques et spatiaux du conflit.  </w:t>
      </w:r>
    </w:p>
    <w:p w:rsidR="009870B1" w:rsidRPr="009870B1" w:rsidRDefault="009870B1" w:rsidP="009870B1">
      <w:pPr>
        <w:spacing w:after="0" w:line="240" w:lineRule="auto"/>
        <w:ind w:firstLine="708"/>
        <w:jc w:val="both"/>
        <w:rPr>
          <w:rFonts w:cstheme="minorHAnsi"/>
        </w:rPr>
      </w:pPr>
    </w:p>
    <w:p w:rsidR="009870B1" w:rsidRPr="009870B1" w:rsidRDefault="009870B1" w:rsidP="009870B1">
      <w:pPr>
        <w:spacing w:after="0" w:line="240" w:lineRule="auto"/>
        <w:ind w:firstLine="708"/>
        <w:jc w:val="both"/>
        <w:rPr>
          <w:rFonts w:cstheme="minorHAnsi"/>
        </w:rPr>
      </w:pPr>
      <w:r w:rsidRPr="009870B1">
        <w:rPr>
          <w:rFonts w:cstheme="minorHAnsi"/>
          <w:b/>
          <w:u w:val="single"/>
        </w:rPr>
        <w:t>Étape 1</w:t>
      </w:r>
      <w:r w:rsidRPr="009870B1">
        <w:rPr>
          <w:rFonts w:cstheme="minorHAnsi"/>
        </w:rPr>
        <w:t xml:space="preserve"> : Les élèves, organisés en îlots de travail, reçoivent une fiche présentant brièvement un soldat guadeloupéen.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6"/>
        <w:gridCol w:w="5370"/>
      </w:tblGrid>
      <w:tr w:rsidR="009870B1" w:rsidRPr="009870B1" w:rsidTr="00493721">
        <w:tc>
          <w:tcPr>
            <w:tcW w:w="5378" w:type="dxa"/>
          </w:tcPr>
          <w:p w:rsidR="009870B1" w:rsidRPr="009870B1" w:rsidRDefault="009870B1" w:rsidP="009870B1">
            <w:pPr>
              <w:jc w:val="both"/>
              <w:rPr>
                <w:rFonts w:cstheme="minorHAnsi"/>
                <w:b/>
              </w:rPr>
            </w:pPr>
            <w:r w:rsidRPr="009870B1">
              <w:rPr>
                <w:rFonts w:cstheme="minorHAnsi"/>
                <w:b/>
                <w:noProof/>
              </w:rPr>
              <w:drawing>
                <wp:inline distT="0" distB="0" distL="0" distR="0" wp14:anchorId="44588741" wp14:editId="1349B3EA">
                  <wp:extent cx="3284220" cy="1849016"/>
                  <wp:effectExtent l="0" t="0" r="5080" b="571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313150" cy="1865304"/>
                          </a:xfrm>
                          <a:prstGeom prst="rect">
                            <a:avLst/>
                          </a:prstGeom>
                        </pic:spPr>
                      </pic:pic>
                    </a:graphicData>
                  </a:graphic>
                </wp:inline>
              </w:drawing>
            </w:r>
          </w:p>
        </w:tc>
        <w:tc>
          <w:tcPr>
            <w:tcW w:w="5378" w:type="dxa"/>
          </w:tcPr>
          <w:p w:rsidR="009870B1" w:rsidRPr="009870B1" w:rsidRDefault="009870B1" w:rsidP="009870B1">
            <w:pPr>
              <w:jc w:val="both"/>
              <w:rPr>
                <w:rFonts w:cstheme="minorHAnsi"/>
                <w:b/>
                <w:sz w:val="21"/>
              </w:rPr>
            </w:pPr>
            <w:r w:rsidRPr="009870B1">
              <w:rPr>
                <w:rFonts w:cstheme="minorHAnsi"/>
                <w:b/>
                <w:sz w:val="21"/>
              </w:rPr>
              <w:t xml:space="preserve">Exemple de fiche : </w:t>
            </w:r>
          </w:p>
          <w:p w:rsidR="009870B1" w:rsidRPr="009870B1" w:rsidRDefault="009870B1" w:rsidP="009870B1">
            <w:pPr>
              <w:jc w:val="both"/>
              <w:rPr>
                <w:rFonts w:cstheme="minorHAnsi"/>
                <w:sz w:val="21"/>
              </w:rPr>
            </w:pPr>
            <w:r w:rsidRPr="009870B1">
              <w:rPr>
                <w:rFonts w:cstheme="minorHAnsi"/>
                <w:sz w:val="21"/>
              </w:rPr>
              <w:t xml:space="preserve">- La fiche est constituée par l’enseignant à l’aide de la photographie (carte d’ancien combattant à l’ONAC-VG) et de la fiche matricule numérisée (archives départementales de la Guadeloupe en ligne) du soldat. </w:t>
            </w:r>
          </w:p>
          <w:p w:rsidR="009870B1" w:rsidRPr="009870B1" w:rsidRDefault="009870B1" w:rsidP="009870B1">
            <w:pPr>
              <w:jc w:val="both"/>
              <w:rPr>
                <w:rFonts w:cstheme="minorHAnsi"/>
                <w:sz w:val="21"/>
              </w:rPr>
            </w:pPr>
            <w:r w:rsidRPr="009870B1">
              <w:rPr>
                <w:rFonts w:cstheme="minorHAnsi"/>
                <w:sz w:val="21"/>
              </w:rPr>
              <w:t xml:space="preserve">- Par groupe les élèves présentent par écrit le soldat étudié : </w:t>
            </w:r>
          </w:p>
          <w:p w:rsidR="009870B1" w:rsidRPr="009870B1" w:rsidRDefault="009870B1" w:rsidP="009870B1">
            <w:pPr>
              <w:jc w:val="both"/>
              <w:rPr>
                <w:rFonts w:cstheme="minorHAnsi"/>
                <w:sz w:val="21"/>
              </w:rPr>
            </w:pPr>
            <w:r w:rsidRPr="009870B1">
              <w:rPr>
                <w:rFonts w:cstheme="minorHAnsi"/>
                <w:sz w:val="21"/>
              </w:rPr>
              <w:t xml:space="preserve">           - présentation générale du soldat (nom, âge, lieu de naissance, famille, profession, description physique…)</w:t>
            </w:r>
          </w:p>
          <w:p w:rsidR="009870B1" w:rsidRPr="009870B1" w:rsidRDefault="009870B1" w:rsidP="009870B1">
            <w:pPr>
              <w:jc w:val="both"/>
              <w:rPr>
                <w:rFonts w:cstheme="minorHAnsi"/>
              </w:rPr>
            </w:pPr>
            <w:r w:rsidRPr="009870B1">
              <w:rPr>
                <w:rFonts w:cstheme="minorHAnsi"/>
                <w:sz w:val="21"/>
              </w:rPr>
              <w:t xml:space="preserve">           - présentation du parcours du soldat durant le conflit (des recherches sont effectuées par les élèves pour expliquer le vocabulaire, pour localiser et pour mettre en contexte)</w:t>
            </w:r>
          </w:p>
        </w:tc>
      </w:tr>
    </w:tbl>
    <w:p w:rsidR="009870B1" w:rsidRPr="009870B1" w:rsidRDefault="009870B1" w:rsidP="009870B1">
      <w:pPr>
        <w:spacing w:after="0" w:line="240" w:lineRule="auto"/>
        <w:jc w:val="both"/>
        <w:rPr>
          <w:rFonts w:cstheme="minorHAnsi"/>
          <w:b/>
          <w:sz w:val="20"/>
          <w:szCs w:val="20"/>
        </w:rPr>
      </w:pPr>
    </w:p>
    <w:p w:rsidR="009870B1" w:rsidRPr="009870B1" w:rsidRDefault="009870B1" w:rsidP="009870B1">
      <w:pPr>
        <w:spacing w:after="0" w:line="240" w:lineRule="auto"/>
        <w:ind w:firstLine="708"/>
        <w:jc w:val="both"/>
        <w:rPr>
          <w:rFonts w:cstheme="minorHAnsi"/>
        </w:rPr>
      </w:pPr>
      <w:r w:rsidRPr="009870B1">
        <w:rPr>
          <w:rFonts w:cstheme="minorHAnsi"/>
        </w:rPr>
        <w:t>Le partage des productions des élèves dans le cadre de la classe permet de mettre en évidence les points communs et les différences entre les parcours étudiés. La contextualisation est l’occasion de relier les soldats guadeloupéens aux événements majeurs du conflit (ex. : bataille de Verdun dans le cas de la fiche ci-dessus).</w:t>
      </w:r>
    </w:p>
    <w:p w:rsidR="009870B1" w:rsidRPr="009870B1" w:rsidRDefault="009870B1" w:rsidP="009870B1">
      <w:pPr>
        <w:spacing w:after="0" w:line="240" w:lineRule="auto"/>
        <w:jc w:val="both"/>
        <w:rPr>
          <w:rFonts w:cstheme="minorHAnsi"/>
          <w:sz w:val="20"/>
          <w:szCs w:val="20"/>
        </w:rPr>
      </w:pPr>
    </w:p>
    <w:p w:rsidR="009870B1" w:rsidRPr="009870B1" w:rsidRDefault="009870B1" w:rsidP="009870B1">
      <w:pPr>
        <w:spacing w:after="0" w:line="240" w:lineRule="auto"/>
        <w:ind w:firstLine="708"/>
        <w:jc w:val="both"/>
        <w:rPr>
          <w:rFonts w:cstheme="minorHAnsi"/>
        </w:rPr>
      </w:pPr>
      <w:r w:rsidRPr="009870B1">
        <w:rPr>
          <w:rFonts w:cstheme="minorHAnsi"/>
          <w:b/>
          <w:u w:val="single"/>
        </w:rPr>
        <w:t>Étape 2</w:t>
      </w:r>
      <w:r w:rsidRPr="009870B1">
        <w:rPr>
          <w:rFonts w:cstheme="minorHAnsi"/>
        </w:rPr>
        <w:t xml:space="preserve"> : Les mêmes groupes d’élèves doivent rédiger une correspondance imaginaire entre le soldat étudié et sa famille restée en Guadeloupe (ce qui permet de se centrer sur la thématique « civils et militaires »). </w:t>
      </w:r>
    </w:p>
    <w:p w:rsidR="009870B1" w:rsidRPr="009870B1" w:rsidRDefault="009870B1" w:rsidP="009870B1">
      <w:pPr>
        <w:spacing w:after="0" w:line="240" w:lineRule="auto"/>
        <w:ind w:firstLine="708"/>
        <w:jc w:val="both"/>
        <w:rPr>
          <w:rFonts w:cstheme="minorHAnsi"/>
        </w:rPr>
      </w:pPr>
      <w:r w:rsidRPr="009870B1">
        <w:rPr>
          <w:rFonts w:cstheme="minorHAnsi"/>
        </w:rPr>
        <w:t xml:space="preserve">Le travail précédent est utilisé comme trame pour établir l’expérience vécue par le soldat. Des recherches supplémentaires sont menées pour étoffer la mise en contexte et pour rendre les lettres crédibles (date, localisation, événements…). Ce travail est l’occasion de mobiliser et de s’approprier les connaissances sur le conflit. Il s’agit aussi de travailler les compétences de rédaction et de s’entrainer pour la question longue du DNB. </w:t>
      </w:r>
    </w:p>
    <w:p w:rsidR="009870B1" w:rsidRPr="009870B1" w:rsidRDefault="009870B1" w:rsidP="009870B1">
      <w:pPr>
        <w:spacing w:after="0" w:line="240" w:lineRule="auto"/>
        <w:jc w:val="both"/>
        <w:rPr>
          <w:rFonts w:cstheme="minorHAnsi"/>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4382"/>
      </w:tblGrid>
      <w:tr w:rsidR="009870B1" w:rsidRPr="009870B1" w:rsidTr="00493721">
        <w:tc>
          <w:tcPr>
            <w:tcW w:w="6374" w:type="dxa"/>
          </w:tcPr>
          <w:p w:rsidR="009870B1" w:rsidRPr="009870B1" w:rsidRDefault="009870B1" w:rsidP="009870B1">
            <w:pPr>
              <w:jc w:val="both"/>
              <w:rPr>
                <w:rFonts w:cstheme="minorHAnsi"/>
              </w:rPr>
            </w:pPr>
            <w:r w:rsidRPr="009870B1">
              <w:rPr>
                <w:rFonts w:cstheme="minorHAnsi"/>
                <w:noProof/>
              </w:rPr>
              <w:drawing>
                <wp:inline distT="0" distB="0" distL="0" distR="0" wp14:anchorId="0D87CFAF" wp14:editId="2E371E7A">
                  <wp:extent cx="3901440" cy="2650122"/>
                  <wp:effectExtent l="0" t="0" r="0" b="444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apositive1.jpe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939678" cy="2676096"/>
                          </a:xfrm>
                          <a:prstGeom prst="rect">
                            <a:avLst/>
                          </a:prstGeom>
                        </pic:spPr>
                      </pic:pic>
                    </a:graphicData>
                  </a:graphic>
                </wp:inline>
              </w:drawing>
            </w:r>
          </w:p>
        </w:tc>
        <w:tc>
          <w:tcPr>
            <w:tcW w:w="4382" w:type="dxa"/>
          </w:tcPr>
          <w:p w:rsidR="009870B1" w:rsidRPr="009870B1" w:rsidRDefault="009870B1" w:rsidP="009870B1">
            <w:pPr>
              <w:jc w:val="both"/>
              <w:rPr>
                <w:rFonts w:cstheme="minorHAnsi"/>
                <w:b/>
              </w:rPr>
            </w:pPr>
            <w:r w:rsidRPr="009870B1">
              <w:rPr>
                <w:rFonts w:cstheme="minorHAnsi"/>
                <w:b/>
              </w:rPr>
              <w:t>Deux exemples de productions d’élèves de 3</w:t>
            </w:r>
            <w:proofErr w:type="gramStart"/>
            <w:r w:rsidRPr="009870B1">
              <w:rPr>
                <w:rFonts w:cstheme="minorHAnsi"/>
                <w:b/>
                <w:vertAlign w:val="superscript"/>
              </w:rPr>
              <w:t>e</w:t>
            </w:r>
            <w:r w:rsidRPr="009870B1">
              <w:rPr>
                <w:rFonts w:cstheme="minorHAnsi"/>
                <w:b/>
              </w:rPr>
              <w:t xml:space="preserve">  (</w:t>
            </w:r>
            <w:proofErr w:type="gramEnd"/>
            <w:r w:rsidRPr="009870B1">
              <w:rPr>
                <w:rFonts w:cstheme="minorHAnsi"/>
                <w:b/>
              </w:rPr>
              <w:t>année scolaire 2018-2019) :</w:t>
            </w:r>
          </w:p>
          <w:p w:rsidR="009870B1" w:rsidRPr="009870B1" w:rsidRDefault="009870B1" w:rsidP="009870B1">
            <w:pPr>
              <w:jc w:val="both"/>
              <w:rPr>
                <w:rFonts w:cstheme="minorHAnsi"/>
              </w:rPr>
            </w:pPr>
          </w:p>
          <w:p w:rsidR="009870B1" w:rsidRPr="009870B1" w:rsidRDefault="009870B1" w:rsidP="009870B1">
            <w:pPr>
              <w:jc w:val="both"/>
              <w:rPr>
                <w:rFonts w:cstheme="minorHAnsi"/>
              </w:rPr>
            </w:pPr>
            <w:r w:rsidRPr="009870B1">
              <w:rPr>
                <w:rFonts w:cstheme="minorHAnsi"/>
              </w:rPr>
              <w:t>- Les élèves cherchent à imiter les documents d’archives, ce qui permet d’aborder la question des sources et de leur conservation.</w:t>
            </w:r>
          </w:p>
          <w:p w:rsidR="009870B1" w:rsidRPr="009870B1" w:rsidRDefault="009870B1" w:rsidP="009870B1">
            <w:pPr>
              <w:jc w:val="both"/>
              <w:rPr>
                <w:rFonts w:cstheme="minorHAnsi"/>
              </w:rPr>
            </w:pPr>
            <w:r w:rsidRPr="009870B1">
              <w:rPr>
                <w:rFonts w:cstheme="minorHAnsi"/>
              </w:rPr>
              <w:t xml:space="preserve">- Les signatures des deux lettres s’appuient sur la fiche étudiée, ex. « Félix </w:t>
            </w:r>
            <w:proofErr w:type="spellStart"/>
            <w:r w:rsidRPr="009870B1">
              <w:rPr>
                <w:rFonts w:cstheme="minorHAnsi"/>
              </w:rPr>
              <w:t>Gombault</w:t>
            </w:r>
            <w:proofErr w:type="spellEnd"/>
            <w:r w:rsidRPr="009870B1">
              <w:rPr>
                <w:rFonts w:cstheme="minorHAnsi"/>
              </w:rPr>
              <w:t>, soldat du 7</w:t>
            </w:r>
            <w:r w:rsidRPr="009870B1">
              <w:rPr>
                <w:rFonts w:cstheme="minorHAnsi"/>
                <w:vertAlign w:val="superscript"/>
              </w:rPr>
              <w:t>e</w:t>
            </w:r>
            <w:r w:rsidRPr="009870B1">
              <w:rPr>
                <w:rFonts w:cstheme="minorHAnsi"/>
              </w:rPr>
              <w:t xml:space="preserve"> régiment d’artillerie ». </w:t>
            </w:r>
          </w:p>
          <w:p w:rsidR="009870B1" w:rsidRPr="009870B1" w:rsidRDefault="009870B1" w:rsidP="009870B1">
            <w:pPr>
              <w:jc w:val="both"/>
              <w:rPr>
                <w:rFonts w:cstheme="minorHAnsi"/>
              </w:rPr>
            </w:pPr>
            <w:r w:rsidRPr="009870B1">
              <w:rPr>
                <w:rFonts w:cstheme="minorHAnsi"/>
              </w:rPr>
              <w:t xml:space="preserve">- La date et la localisation de la seconde lettre permettent de contextualiser les événements liés à la blessure du soldat étudié. </w:t>
            </w:r>
          </w:p>
        </w:tc>
      </w:tr>
    </w:tbl>
    <w:p w:rsidR="009870B1" w:rsidRPr="009870B1" w:rsidRDefault="009870B1" w:rsidP="009870B1">
      <w:pPr>
        <w:spacing w:after="0" w:line="240" w:lineRule="auto"/>
        <w:jc w:val="both"/>
        <w:rPr>
          <w:rFonts w:cstheme="minorHAnsi"/>
          <w:sz w:val="20"/>
          <w:szCs w:val="20"/>
        </w:rPr>
      </w:pPr>
    </w:p>
    <w:tbl>
      <w:tblPr>
        <w:tblStyle w:val="Grilledutableau"/>
        <w:tblW w:w="0" w:type="auto"/>
        <w:tblLook w:val="04A0" w:firstRow="1" w:lastRow="0" w:firstColumn="1" w:lastColumn="0" w:noHBand="0" w:noVBand="1"/>
      </w:tblPr>
      <w:tblGrid>
        <w:gridCol w:w="3823"/>
        <w:gridCol w:w="6933"/>
      </w:tblGrid>
      <w:tr w:rsidR="009870B1" w:rsidRPr="009870B1" w:rsidTr="00493721">
        <w:tc>
          <w:tcPr>
            <w:tcW w:w="3823" w:type="dxa"/>
          </w:tcPr>
          <w:p w:rsidR="009870B1" w:rsidRPr="009870B1" w:rsidRDefault="009870B1" w:rsidP="009870B1">
            <w:pPr>
              <w:jc w:val="center"/>
              <w:rPr>
                <w:rFonts w:cstheme="minorHAnsi"/>
                <w:b/>
              </w:rPr>
            </w:pPr>
            <w:r w:rsidRPr="009870B1">
              <w:rPr>
                <w:rFonts w:cstheme="minorHAnsi"/>
                <w:b/>
              </w:rPr>
              <w:t>Compétences disciplinaires mobilisées</w:t>
            </w:r>
          </w:p>
        </w:tc>
        <w:tc>
          <w:tcPr>
            <w:tcW w:w="6933" w:type="dxa"/>
          </w:tcPr>
          <w:p w:rsidR="009870B1" w:rsidRPr="009870B1" w:rsidRDefault="009870B1" w:rsidP="009870B1">
            <w:pPr>
              <w:jc w:val="center"/>
              <w:rPr>
                <w:rFonts w:cstheme="minorHAnsi"/>
                <w:b/>
              </w:rPr>
            </w:pPr>
            <w:r w:rsidRPr="009870B1">
              <w:rPr>
                <w:rFonts w:cstheme="minorHAnsi"/>
                <w:b/>
              </w:rPr>
              <w:t>Détails (domaines du socle : 1, 2, 3 et 5)</w:t>
            </w:r>
          </w:p>
        </w:tc>
      </w:tr>
      <w:tr w:rsidR="009870B1" w:rsidRPr="009870B1" w:rsidTr="00493721">
        <w:tc>
          <w:tcPr>
            <w:tcW w:w="3823" w:type="dxa"/>
          </w:tcPr>
          <w:p w:rsidR="009870B1" w:rsidRPr="009870B1" w:rsidRDefault="009870B1" w:rsidP="009870B1">
            <w:pPr>
              <w:jc w:val="both"/>
              <w:rPr>
                <w:rFonts w:cstheme="minorHAnsi"/>
              </w:rPr>
            </w:pPr>
            <w:r w:rsidRPr="009870B1">
              <w:rPr>
                <w:rFonts w:cstheme="minorHAnsi"/>
              </w:rPr>
              <w:t>Analyser et comprendre un document</w:t>
            </w:r>
          </w:p>
        </w:tc>
        <w:tc>
          <w:tcPr>
            <w:tcW w:w="6933" w:type="dxa"/>
          </w:tcPr>
          <w:p w:rsidR="009870B1" w:rsidRPr="009870B1" w:rsidRDefault="009870B1" w:rsidP="009870B1">
            <w:pPr>
              <w:jc w:val="both"/>
              <w:rPr>
                <w:rFonts w:cstheme="minorHAnsi"/>
                <w:sz w:val="20"/>
              </w:rPr>
            </w:pPr>
            <w:r w:rsidRPr="009870B1">
              <w:rPr>
                <w:rFonts w:cstheme="minorHAnsi"/>
                <w:sz w:val="20"/>
              </w:rPr>
              <w:t>Extraire, classer, hiérarchiser des informations / confronter un document aux connaissances sur le sujet</w:t>
            </w:r>
          </w:p>
        </w:tc>
      </w:tr>
      <w:tr w:rsidR="009870B1" w:rsidRPr="009870B1" w:rsidTr="00493721">
        <w:tc>
          <w:tcPr>
            <w:tcW w:w="3823" w:type="dxa"/>
          </w:tcPr>
          <w:p w:rsidR="009870B1" w:rsidRPr="009870B1" w:rsidRDefault="009870B1" w:rsidP="009870B1">
            <w:pPr>
              <w:jc w:val="both"/>
              <w:rPr>
                <w:rFonts w:cstheme="minorHAnsi"/>
              </w:rPr>
            </w:pPr>
            <w:r w:rsidRPr="009870B1">
              <w:rPr>
                <w:rFonts w:cstheme="minorHAnsi"/>
              </w:rPr>
              <w:t>Pratiquer différents langages</w:t>
            </w:r>
          </w:p>
        </w:tc>
        <w:tc>
          <w:tcPr>
            <w:tcW w:w="6933" w:type="dxa"/>
          </w:tcPr>
          <w:p w:rsidR="009870B1" w:rsidRPr="009870B1" w:rsidRDefault="009870B1" w:rsidP="009870B1">
            <w:pPr>
              <w:jc w:val="both"/>
              <w:rPr>
                <w:rFonts w:cstheme="minorHAnsi"/>
                <w:sz w:val="20"/>
              </w:rPr>
            </w:pPr>
            <w:r w:rsidRPr="009870B1">
              <w:rPr>
                <w:rFonts w:cstheme="minorHAnsi"/>
                <w:sz w:val="20"/>
              </w:rPr>
              <w:t>Connaître les caractéristiques des récits historiques et en réaliser / s’approprier et utiliser un lexique en contexte</w:t>
            </w:r>
          </w:p>
        </w:tc>
      </w:tr>
      <w:tr w:rsidR="009870B1" w:rsidRPr="009870B1" w:rsidTr="00493721">
        <w:tc>
          <w:tcPr>
            <w:tcW w:w="3823" w:type="dxa"/>
          </w:tcPr>
          <w:p w:rsidR="009870B1" w:rsidRPr="009870B1" w:rsidRDefault="009870B1" w:rsidP="009870B1">
            <w:pPr>
              <w:jc w:val="both"/>
              <w:rPr>
                <w:rFonts w:cstheme="minorHAnsi"/>
              </w:rPr>
            </w:pPr>
            <w:r w:rsidRPr="009870B1">
              <w:rPr>
                <w:rFonts w:cstheme="minorHAnsi"/>
              </w:rPr>
              <w:t>Se repérer dans le temps</w:t>
            </w:r>
          </w:p>
        </w:tc>
        <w:tc>
          <w:tcPr>
            <w:tcW w:w="6933" w:type="dxa"/>
          </w:tcPr>
          <w:p w:rsidR="009870B1" w:rsidRPr="009870B1" w:rsidRDefault="009870B1" w:rsidP="009870B1">
            <w:pPr>
              <w:jc w:val="both"/>
              <w:rPr>
                <w:rFonts w:cstheme="minorHAnsi"/>
                <w:sz w:val="20"/>
              </w:rPr>
            </w:pPr>
            <w:r w:rsidRPr="009870B1">
              <w:rPr>
                <w:rFonts w:cstheme="minorHAnsi"/>
                <w:sz w:val="20"/>
              </w:rPr>
              <w:t xml:space="preserve">Situer un fait dans une époque </w:t>
            </w:r>
            <w:proofErr w:type="spellStart"/>
            <w:r w:rsidRPr="009870B1">
              <w:rPr>
                <w:rFonts w:cstheme="minorHAnsi"/>
                <w:sz w:val="20"/>
              </w:rPr>
              <w:t>ou</w:t>
            </w:r>
            <w:proofErr w:type="spellEnd"/>
            <w:r w:rsidRPr="009870B1">
              <w:rPr>
                <w:rFonts w:cstheme="minorHAnsi"/>
                <w:sz w:val="20"/>
              </w:rPr>
              <w:t xml:space="preserve"> une période donnée / mettre en relations des faits</w:t>
            </w:r>
          </w:p>
        </w:tc>
      </w:tr>
      <w:tr w:rsidR="009870B1" w:rsidRPr="009870B1" w:rsidTr="00493721">
        <w:tc>
          <w:tcPr>
            <w:tcW w:w="3823" w:type="dxa"/>
          </w:tcPr>
          <w:p w:rsidR="009870B1" w:rsidRPr="009870B1" w:rsidRDefault="009870B1" w:rsidP="009870B1">
            <w:pPr>
              <w:jc w:val="both"/>
              <w:rPr>
                <w:rFonts w:cstheme="minorHAnsi"/>
              </w:rPr>
            </w:pPr>
            <w:r w:rsidRPr="009870B1">
              <w:rPr>
                <w:rFonts w:cstheme="minorHAnsi"/>
              </w:rPr>
              <w:lastRenderedPageBreak/>
              <w:t xml:space="preserve">Coopérer et mutualiser </w:t>
            </w:r>
          </w:p>
        </w:tc>
        <w:tc>
          <w:tcPr>
            <w:tcW w:w="6933" w:type="dxa"/>
          </w:tcPr>
          <w:p w:rsidR="009870B1" w:rsidRPr="009870B1" w:rsidRDefault="009870B1" w:rsidP="009870B1">
            <w:pPr>
              <w:jc w:val="both"/>
              <w:rPr>
                <w:rFonts w:cstheme="minorHAnsi"/>
                <w:sz w:val="20"/>
              </w:rPr>
            </w:pPr>
            <w:r w:rsidRPr="009870B1">
              <w:rPr>
                <w:rFonts w:cstheme="minorHAnsi"/>
                <w:sz w:val="20"/>
              </w:rPr>
              <w:t>Organiser son travail dans le cadre d’un groupe pour élaborer une tâche commune</w:t>
            </w:r>
          </w:p>
        </w:tc>
      </w:tr>
    </w:tbl>
    <w:p w:rsidR="009870B1" w:rsidRPr="009870B1" w:rsidRDefault="009870B1" w:rsidP="009870B1">
      <w:pPr>
        <w:spacing w:after="0" w:line="240" w:lineRule="auto"/>
        <w:rPr>
          <w:rFonts w:cstheme="minorHAnsi"/>
          <w:b/>
          <w:u w:val="single"/>
        </w:rPr>
      </w:pPr>
      <w:r w:rsidRPr="009870B1">
        <w:rPr>
          <w:rFonts w:cstheme="minorHAnsi"/>
          <w:b/>
          <w:u w:val="single"/>
        </w:rPr>
        <w:t>Piste d’approfondissement n°2, à mener en classe, en amont ou en aval de la visite de l’exposition</w:t>
      </w:r>
    </w:p>
    <w:p w:rsidR="009870B1" w:rsidRPr="009870B1" w:rsidRDefault="009870B1" w:rsidP="009870B1">
      <w:pPr>
        <w:spacing w:after="0" w:line="240" w:lineRule="auto"/>
        <w:rPr>
          <w:rFonts w:cstheme="minorHAnsi"/>
          <w:b/>
        </w:rPr>
      </w:pPr>
      <w:r w:rsidRPr="009870B1">
        <w:rPr>
          <w:rFonts w:cstheme="minorHAnsi"/>
          <w:b/>
        </w:rPr>
        <w:sym w:font="Wingdings" w:char="F0E0"/>
      </w:r>
      <w:r w:rsidRPr="009870B1">
        <w:rPr>
          <w:rFonts w:cstheme="minorHAnsi"/>
          <w:b/>
        </w:rPr>
        <w:t xml:space="preserve"> Mener un projet pédagogique autour du monument aux morts de la commune de son établissement scolaire</w:t>
      </w: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sz w:val="24"/>
          <w:szCs w:val="24"/>
        </w:rPr>
      </w:pPr>
      <w:r w:rsidRPr="009870B1">
        <w:rPr>
          <w:sz w:val="24"/>
          <w:szCs w:val="24"/>
        </w:rPr>
        <w:t>Il s’agit de commémorer la fin de Première Guerre mondiale en partant sur les traces de ces hommes de la commune partis combattre entre 1914 et 1918 et morts pour la France : nous allons retracer leur parcours, grâce aux archives, en faisant un travail d’apprentis historiens.</w:t>
      </w:r>
    </w:p>
    <w:p w:rsidR="009870B1" w:rsidRPr="009870B1" w:rsidRDefault="009870B1" w:rsidP="009870B1">
      <w:pPr>
        <w:spacing w:after="0" w:line="240" w:lineRule="auto"/>
        <w:rPr>
          <w:sz w:val="24"/>
          <w:szCs w:val="24"/>
        </w:rPr>
      </w:pPr>
    </w:p>
    <w:p w:rsidR="009870B1" w:rsidRPr="009870B1" w:rsidRDefault="009870B1" w:rsidP="009870B1">
      <w:pPr>
        <w:numPr>
          <w:ilvl w:val="0"/>
          <w:numId w:val="1"/>
        </w:numPr>
        <w:spacing w:after="0" w:line="240" w:lineRule="auto"/>
        <w:contextualSpacing/>
        <w:rPr>
          <w:b/>
          <w:sz w:val="24"/>
          <w:szCs w:val="24"/>
          <w:u w:val="single"/>
        </w:rPr>
      </w:pPr>
      <w:r w:rsidRPr="009870B1">
        <w:rPr>
          <w:b/>
          <w:sz w:val="24"/>
          <w:szCs w:val="24"/>
          <w:u w:val="single"/>
        </w:rPr>
        <w:t>Le monument aux morts de la commune</w:t>
      </w:r>
    </w:p>
    <w:p w:rsidR="009870B1" w:rsidRPr="009870B1" w:rsidRDefault="009870B1" w:rsidP="009870B1">
      <w:pPr>
        <w:spacing w:after="0" w:line="240" w:lineRule="auto"/>
        <w:rPr>
          <w:sz w:val="24"/>
          <w:szCs w:val="24"/>
        </w:rPr>
      </w:pPr>
      <w:r w:rsidRPr="009870B1">
        <w:rPr>
          <w:sz w:val="24"/>
          <w:szCs w:val="24"/>
        </w:rPr>
        <w:t xml:space="preserve">- Désigner un groupe d’élèves volontaires pour aller le photographier et le présenter rapidement à la classe. </w:t>
      </w:r>
    </w:p>
    <w:p w:rsidR="009870B1" w:rsidRPr="009870B1" w:rsidRDefault="009870B1" w:rsidP="009870B1">
      <w:pPr>
        <w:spacing w:after="0" w:line="240" w:lineRule="auto"/>
        <w:rPr>
          <w:sz w:val="24"/>
          <w:szCs w:val="24"/>
        </w:rPr>
      </w:pPr>
      <w:r w:rsidRPr="009870B1">
        <w:rPr>
          <w:sz w:val="24"/>
          <w:szCs w:val="24"/>
        </w:rPr>
        <w:t>- A partir du site « </w:t>
      </w:r>
      <w:proofErr w:type="spellStart"/>
      <w:r w:rsidRPr="009870B1">
        <w:rPr>
          <w:sz w:val="24"/>
          <w:szCs w:val="24"/>
        </w:rPr>
        <w:t>MémorialGenWeb</w:t>
      </w:r>
      <w:proofErr w:type="spellEnd"/>
      <w:r w:rsidRPr="009870B1">
        <w:rPr>
          <w:sz w:val="24"/>
          <w:szCs w:val="24"/>
        </w:rPr>
        <w:t> », chercher la liste des soldats figurant sur le monument aux morts concerné (moteur de recherche facile d’utilisation) : cliquer sur « les monuments et les morts », puis sur la Guadeloupe et sélectionner le relevé de la commune de votre choix.</w:t>
      </w:r>
    </w:p>
    <w:p w:rsidR="009870B1" w:rsidRPr="009870B1" w:rsidRDefault="009870B1" w:rsidP="009870B1">
      <w:pPr>
        <w:spacing w:after="0" w:line="240" w:lineRule="auto"/>
        <w:rPr>
          <w:sz w:val="24"/>
          <w:szCs w:val="24"/>
        </w:rPr>
      </w:pPr>
      <w:hyperlink r:id="rId7" w:history="1">
        <w:r w:rsidRPr="009870B1">
          <w:rPr>
            <w:color w:val="0563C1" w:themeColor="hyperlink"/>
            <w:sz w:val="24"/>
            <w:szCs w:val="24"/>
            <w:u w:val="single"/>
          </w:rPr>
          <w:t>http://www.memorialgenweb.org/memorial3/html/fr/resultdpt?dpt=971</w:t>
        </w:r>
      </w:hyperlink>
    </w:p>
    <w:p w:rsidR="009870B1" w:rsidRPr="009870B1" w:rsidRDefault="009870B1" w:rsidP="009870B1">
      <w:pPr>
        <w:spacing w:after="0" w:line="240" w:lineRule="auto"/>
        <w:rPr>
          <w:b/>
          <w:sz w:val="24"/>
          <w:szCs w:val="24"/>
          <w:u w:val="single"/>
        </w:rPr>
      </w:pPr>
    </w:p>
    <w:p w:rsidR="009870B1" w:rsidRPr="009870B1" w:rsidRDefault="009870B1" w:rsidP="009870B1">
      <w:pPr>
        <w:numPr>
          <w:ilvl w:val="0"/>
          <w:numId w:val="1"/>
        </w:numPr>
        <w:spacing w:after="0" w:line="240" w:lineRule="auto"/>
        <w:contextualSpacing/>
        <w:rPr>
          <w:b/>
          <w:sz w:val="24"/>
          <w:szCs w:val="24"/>
          <w:u w:val="single"/>
        </w:rPr>
      </w:pPr>
      <w:r w:rsidRPr="009870B1">
        <w:rPr>
          <w:b/>
          <w:sz w:val="24"/>
          <w:szCs w:val="24"/>
          <w:u w:val="single"/>
        </w:rPr>
        <w:t>Constitution des groupes de recherches</w:t>
      </w:r>
    </w:p>
    <w:p w:rsidR="009870B1" w:rsidRPr="009870B1" w:rsidRDefault="009870B1" w:rsidP="009870B1">
      <w:pPr>
        <w:spacing w:after="0" w:line="240" w:lineRule="auto"/>
        <w:rPr>
          <w:rFonts w:cstheme="minorHAnsi"/>
        </w:rPr>
      </w:pPr>
      <w:r w:rsidRPr="009870B1">
        <w:rPr>
          <w:rFonts w:cstheme="minorHAnsi"/>
        </w:rPr>
        <w:t>- A partir de cette liste, constituer des groupes de travail : répartir les soldats à suivre.</w:t>
      </w: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b/>
          <w:sz w:val="24"/>
          <w:szCs w:val="24"/>
          <w:u w:val="single"/>
        </w:rPr>
      </w:pPr>
      <w:r w:rsidRPr="009870B1">
        <w:rPr>
          <w:b/>
          <w:sz w:val="24"/>
          <w:szCs w:val="24"/>
          <w:u w:val="single"/>
        </w:rPr>
        <w:t>Télécharger les fiches « Morts pour la France »</w:t>
      </w:r>
    </w:p>
    <w:p w:rsidR="009870B1" w:rsidRPr="009870B1" w:rsidRDefault="009870B1" w:rsidP="009870B1">
      <w:pPr>
        <w:spacing w:after="0" w:line="240" w:lineRule="auto"/>
        <w:ind w:left="360"/>
        <w:rPr>
          <w:sz w:val="24"/>
          <w:szCs w:val="24"/>
        </w:rPr>
      </w:pPr>
      <w:r w:rsidRPr="009870B1">
        <w:rPr>
          <w:sz w:val="24"/>
          <w:szCs w:val="24"/>
        </w:rPr>
        <w:t xml:space="preserve">Sur le site « Mémoire des hommes », chercher les soldats dans la base de données intitulée « morts pour la France de la Première Guerre mondiale » http://www.memoiredeshommes.sga.defense.gouv.fr/fr/article.php?larub=24&amp;titre=morts-pour-la-france-de-la-premiere-guerre-mondiale </w:t>
      </w:r>
    </w:p>
    <w:p w:rsidR="009870B1" w:rsidRPr="009870B1" w:rsidRDefault="009870B1" w:rsidP="009870B1">
      <w:pPr>
        <w:spacing w:after="0" w:line="240" w:lineRule="auto"/>
        <w:ind w:left="360"/>
        <w:rPr>
          <w:sz w:val="24"/>
          <w:szCs w:val="24"/>
        </w:rPr>
      </w:pPr>
      <w:r w:rsidRPr="009870B1">
        <w:rPr>
          <w:sz w:val="24"/>
          <w:szCs w:val="24"/>
        </w:rPr>
        <w:t>Entrer le nom de famille (pas le prénom, car figurent parfois des erreurs) et la commune du soldat.</w:t>
      </w:r>
    </w:p>
    <w:p w:rsidR="009870B1" w:rsidRPr="009870B1" w:rsidRDefault="009870B1" w:rsidP="009870B1">
      <w:pPr>
        <w:spacing w:after="0" w:line="240" w:lineRule="auto"/>
        <w:ind w:left="360"/>
        <w:rPr>
          <w:sz w:val="24"/>
          <w:szCs w:val="24"/>
        </w:rPr>
      </w:pPr>
      <w:r w:rsidRPr="009870B1">
        <w:rPr>
          <w:sz w:val="24"/>
          <w:szCs w:val="24"/>
        </w:rPr>
        <w:t xml:space="preserve">Cliquer sur « image » et télécharger la fiche correspondante. </w:t>
      </w:r>
    </w:p>
    <w:p w:rsidR="009870B1" w:rsidRPr="009870B1" w:rsidRDefault="009870B1" w:rsidP="009870B1">
      <w:pPr>
        <w:spacing w:after="0" w:line="240" w:lineRule="auto"/>
        <w:rPr>
          <w:sz w:val="24"/>
          <w:szCs w:val="24"/>
        </w:rPr>
      </w:pPr>
    </w:p>
    <w:p w:rsidR="009870B1" w:rsidRPr="009870B1" w:rsidRDefault="009870B1" w:rsidP="009870B1">
      <w:pPr>
        <w:numPr>
          <w:ilvl w:val="0"/>
          <w:numId w:val="1"/>
        </w:numPr>
        <w:spacing w:after="0" w:line="240" w:lineRule="auto"/>
        <w:contextualSpacing/>
        <w:rPr>
          <w:b/>
          <w:sz w:val="24"/>
          <w:szCs w:val="24"/>
          <w:u w:val="single"/>
        </w:rPr>
      </w:pPr>
      <w:r w:rsidRPr="009870B1">
        <w:rPr>
          <w:b/>
          <w:sz w:val="24"/>
          <w:szCs w:val="24"/>
          <w:u w:val="single"/>
        </w:rPr>
        <w:t>A l’aide de ces premières informations, compléter le tableau suivant</w:t>
      </w:r>
    </w:p>
    <w:p w:rsidR="009870B1" w:rsidRPr="009870B1" w:rsidRDefault="009870B1" w:rsidP="009870B1">
      <w:pPr>
        <w:spacing w:after="0" w:line="240" w:lineRule="auto"/>
        <w:ind w:left="360"/>
        <w:rPr>
          <w:sz w:val="24"/>
          <w:szCs w:val="24"/>
        </w:rPr>
      </w:pPr>
      <w:r w:rsidRPr="009870B1">
        <w:rPr>
          <w:sz w:val="24"/>
          <w:szCs w:val="24"/>
        </w:rPr>
        <w:t>Chaque groupe d’élèves complète le tableau, qui sert ensuite de première base de données.</w:t>
      </w:r>
    </w:p>
    <w:p w:rsidR="009870B1" w:rsidRPr="009870B1" w:rsidRDefault="009870B1" w:rsidP="009870B1">
      <w:pPr>
        <w:spacing w:after="0" w:line="240" w:lineRule="auto"/>
        <w:ind w:left="360"/>
        <w:rPr>
          <w:sz w:val="24"/>
          <w:szCs w:val="24"/>
        </w:rPr>
      </w:pPr>
    </w:p>
    <w:tbl>
      <w:tblPr>
        <w:tblStyle w:val="Grilledutableau"/>
        <w:tblW w:w="0" w:type="auto"/>
        <w:tblLook w:val="04A0" w:firstRow="1" w:lastRow="0" w:firstColumn="1" w:lastColumn="0" w:noHBand="0" w:noVBand="1"/>
      </w:tblPr>
      <w:tblGrid>
        <w:gridCol w:w="1817"/>
        <w:gridCol w:w="1786"/>
        <w:gridCol w:w="1253"/>
        <w:gridCol w:w="1344"/>
        <w:gridCol w:w="2821"/>
        <w:gridCol w:w="1735"/>
      </w:tblGrid>
      <w:tr w:rsidR="009870B1" w:rsidRPr="009870B1" w:rsidTr="00493721">
        <w:tc>
          <w:tcPr>
            <w:tcW w:w="2772" w:type="dxa"/>
            <w:vAlign w:val="center"/>
          </w:tcPr>
          <w:p w:rsidR="009870B1" w:rsidRPr="009870B1" w:rsidRDefault="009870B1" w:rsidP="009870B1">
            <w:pPr>
              <w:jc w:val="center"/>
              <w:rPr>
                <w:b/>
                <w:sz w:val="20"/>
                <w:szCs w:val="18"/>
              </w:rPr>
            </w:pPr>
            <w:r w:rsidRPr="009870B1">
              <w:rPr>
                <w:b/>
                <w:sz w:val="20"/>
                <w:szCs w:val="18"/>
              </w:rPr>
              <w:t>NOM et prénom</w:t>
            </w:r>
          </w:p>
        </w:tc>
        <w:tc>
          <w:tcPr>
            <w:tcW w:w="2509" w:type="dxa"/>
            <w:vAlign w:val="center"/>
          </w:tcPr>
          <w:p w:rsidR="009870B1" w:rsidRPr="009870B1" w:rsidRDefault="009870B1" w:rsidP="009870B1">
            <w:pPr>
              <w:jc w:val="center"/>
              <w:rPr>
                <w:b/>
                <w:sz w:val="20"/>
                <w:szCs w:val="18"/>
              </w:rPr>
            </w:pPr>
            <w:r w:rsidRPr="009870B1">
              <w:rPr>
                <w:b/>
                <w:sz w:val="20"/>
                <w:szCs w:val="18"/>
              </w:rPr>
              <w:t>Commune et date de naissance</w:t>
            </w:r>
          </w:p>
        </w:tc>
        <w:tc>
          <w:tcPr>
            <w:tcW w:w="1253" w:type="dxa"/>
            <w:vAlign w:val="center"/>
          </w:tcPr>
          <w:p w:rsidR="009870B1" w:rsidRPr="009870B1" w:rsidRDefault="009870B1" w:rsidP="009870B1">
            <w:pPr>
              <w:jc w:val="center"/>
              <w:rPr>
                <w:b/>
                <w:sz w:val="20"/>
                <w:szCs w:val="18"/>
              </w:rPr>
            </w:pPr>
            <w:r w:rsidRPr="009870B1">
              <w:rPr>
                <w:b/>
                <w:sz w:val="20"/>
                <w:szCs w:val="18"/>
              </w:rPr>
              <w:t>Classe de mobilisation</w:t>
            </w:r>
          </w:p>
        </w:tc>
        <w:tc>
          <w:tcPr>
            <w:tcW w:w="1683" w:type="dxa"/>
            <w:vAlign w:val="center"/>
          </w:tcPr>
          <w:p w:rsidR="009870B1" w:rsidRPr="009870B1" w:rsidRDefault="009870B1" w:rsidP="009870B1">
            <w:pPr>
              <w:jc w:val="center"/>
              <w:rPr>
                <w:b/>
                <w:sz w:val="20"/>
                <w:szCs w:val="18"/>
              </w:rPr>
            </w:pPr>
            <w:r w:rsidRPr="009870B1">
              <w:rPr>
                <w:b/>
                <w:sz w:val="20"/>
                <w:szCs w:val="18"/>
              </w:rPr>
              <w:t>Numéro matricule</w:t>
            </w:r>
          </w:p>
        </w:tc>
        <w:tc>
          <w:tcPr>
            <w:tcW w:w="4973" w:type="dxa"/>
            <w:vAlign w:val="center"/>
          </w:tcPr>
          <w:p w:rsidR="009870B1" w:rsidRPr="009870B1" w:rsidRDefault="009870B1" w:rsidP="009870B1">
            <w:pPr>
              <w:jc w:val="center"/>
              <w:rPr>
                <w:b/>
                <w:sz w:val="20"/>
                <w:szCs w:val="18"/>
              </w:rPr>
            </w:pPr>
            <w:r w:rsidRPr="009870B1">
              <w:rPr>
                <w:b/>
                <w:sz w:val="20"/>
                <w:szCs w:val="18"/>
              </w:rPr>
              <w:t>Date, genre et lieu de décès</w:t>
            </w:r>
          </w:p>
        </w:tc>
        <w:tc>
          <w:tcPr>
            <w:tcW w:w="2506" w:type="dxa"/>
            <w:vAlign w:val="center"/>
          </w:tcPr>
          <w:p w:rsidR="009870B1" w:rsidRPr="009870B1" w:rsidRDefault="009870B1" w:rsidP="009870B1">
            <w:pPr>
              <w:jc w:val="center"/>
              <w:rPr>
                <w:b/>
                <w:sz w:val="20"/>
                <w:szCs w:val="18"/>
              </w:rPr>
            </w:pPr>
            <w:r w:rsidRPr="009870B1">
              <w:rPr>
                <w:b/>
                <w:sz w:val="20"/>
                <w:szCs w:val="18"/>
              </w:rPr>
              <w:t>Dernier régiment connu et grade</w:t>
            </w:r>
          </w:p>
        </w:tc>
      </w:tr>
      <w:tr w:rsidR="009870B1" w:rsidRPr="009870B1" w:rsidTr="00493721">
        <w:tc>
          <w:tcPr>
            <w:tcW w:w="2772" w:type="dxa"/>
            <w:vAlign w:val="center"/>
          </w:tcPr>
          <w:p w:rsidR="009870B1" w:rsidRPr="009870B1" w:rsidRDefault="009870B1" w:rsidP="009870B1">
            <w:pPr>
              <w:jc w:val="center"/>
              <w:rPr>
                <w:b/>
                <w:sz w:val="20"/>
                <w:szCs w:val="18"/>
              </w:rPr>
            </w:pPr>
          </w:p>
        </w:tc>
        <w:tc>
          <w:tcPr>
            <w:tcW w:w="2509" w:type="dxa"/>
            <w:vAlign w:val="center"/>
          </w:tcPr>
          <w:p w:rsidR="009870B1" w:rsidRPr="009870B1" w:rsidRDefault="009870B1" w:rsidP="009870B1">
            <w:pPr>
              <w:jc w:val="center"/>
              <w:rPr>
                <w:b/>
                <w:sz w:val="20"/>
                <w:szCs w:val="18"/>
              </w:rPr>
            </w:pPr>
          </w:p>
        </w:tc>
        <w:tc>
          <w:tcPr>
            <w:tcW w:w="1253" w:type="dxa"/>
            <w:vAlign w:val="center"/>
          </w:tcPr>
          <w:p w:rsidR="009870B1" w:rsidRPr="009870B1" w:rsidRDefault="009870B1" w:rsidP="009870B1">
            <w:pPr>
              <w:jc w:val="center"/>
              <w:rPr>
                <w:b/>
                <w:sz w:val="20"/>
                <w:szCs w:val="18"/>
              </w:rPr>
            </w:pPr>
          </w:p>
        </w:tc>
        <w:tc>
          <w:tcPr>
            <w:tcW w:w="1683" w:type="dxa"/>
            <w:vAlign w:val="center"/>
          </w:tcPr>
          <w:p w:rsidR="009870B1" w:rsidRPr="009870B1" w:rsidRDefault="009870B1" w:rsidP="009870B1">
            <w:pPr>
              <w:jc w:val="center"/>
              <w:rPr>
                <w:b/>
                <w:sz w:val="20"/>
                <w:szCs w:val="18"/>
              </w:rPr>
            </w:pPr>
          </w:p>
        </w:tc>
        <w:tc>
          <w:tcPr>
            <w:tcW w:w="4973" w:type="dxa"/>
            <w:vAlign w:val="center"/>
          </w:tcPr>
          <w:p w:rsidR="009870B1" w:rsidRPr="009870B1" w:rsidRDefault="009870B1" w:rsidP="009870B1">
            <w:pPr>
              <w:jc w:val="center"/>
              <w:rPr>
                <w:b/>
                <w:sz w:val="20"/>
                <w:szCs w:val="18"/>
              </w:rPr>
            </w:pPr>
          </w:p>
        </w:tc>
        <w:tc>
          <w:tcPr>
            <w:tcW w:w="2506" w:type="dxa"/>
            <w:vAlign w:val="center"/>
          </w:tcPr>
          <w:p w:rsidR="009870B1" w:rsidRPr="009870B1" w:rsidRDefault="009870B1" w:rsidP="009870B1">
            <w:pPr>
              <w:jc w:val="center"/>
              <w:rPr>
                <w:b/>
                <w:sz w:val="20"/>
                <w:szCs w:val="18"/>
              </w:rPr>
            </w:pPr>
          </w:p>
        </w:tc>
      </w:tr>
      <w:tr w:rsidR="009870B1" w:rsidRPr="009870B1" w:rsidTr="00493721">
        <w:tc>
          <w:tcPr>
            <w:tcW w:w="2772" w:type="dxa"/>
            <w:vAlign w:val="center"/>
          </w:tcPr>
          <w:p w:rsidR="009870B1" w:rsidRPr="009870B1" w:rsidRDefault="009870B1" w:rsidP="009870B1">
            <w:pPr>
              <w:jc w:val="center"/>
              <w:rPr>
                <w:b/>
                <w:sz w:val="20"/>
                <w:szCs w:val="18"/>
              </w:rPr>
            </w:pPr>
          </w:p>
        </w:tc>
        <w:tc>
          <w:tcPr>
            <w:tcW w:w="2509" w:type="dxa"/>
            <w:vAlign w:val="center"/>
          </w:tcPr>
          <w:p w:rsidR="009870B1" w:rsidRPr="009870B1" w:rsidRDefault="009870B1" w:rsidP="009870B1">
            <w:pPr>
              <w:jc w:val="center"/>
              <w:rPr>
                <w:b/>
                <w:sz w:val="20"/>
                <w:szCs w:val="18"/>
              </w:rPr>
            </w:pPr>
          </w:p>
        </w:tc>
        <w:tc>
          <w:tcPr>
            <w:tcW w:w="1253" w:type="dxa"/>
            <w:vAlign w:val="center"/>
          </w:tcPr>
          <w:p w:rsidR="009870B1" w:rsidRPr="009870B1" w:rsidRDefault="009870B1" w:rsidP="009870B1">
            <w:pPr>
              <w:jc w:val="center"/>
              <w:rPr>
                <w:b/>
                <w:sz w:val="20"/>
                <w:szCs w:val="18"/>
              </w:rPr>
            </w:pPr>
          </w:p>
        </w:tc>
        <w:tc>
          <w:tcPr>
            <w:tcW w:w="1683" w:type="dxa"/>
            <w:vAlign w:val="center"/>
          </w:tcPr>
          <w:p w:rsidR="009870B1" w:rsidRPr="009870B1" w:rsidRDefault="009870B1" w:rsidP="009870B1">
            <w:pPr>
              <w:jc w:val="center"/>
              <w:rPr>
                <w:b/>
                <w:sz w:val="20"/>
                <w:szCs w:val="18"/>
              </w:rPr>
            </w:pPr>
          </w:p>
        </w:tc>
        <w:tc>
          <w:tcPr>
            <w:tcW w:w="4973" w:type="dxa"/>
            <w:vAlign w:val="center"/>
          </w:tcPr>
          <w:p w:rsidR="009870B1" w:rsidRPr="009870B1" w:rsidRDefault="009870B1" w:rsidP="009870B1">
            <w:pPr>
              <w:jc w:val="center"/>
              <w:rPr>
                <w:b/>
                <w:sz w:val="20"/>
                <w:szCs w:val="18"/>
              </w:rPr>
            </w:pPr>
          </w:p>
        </w:tc>
        <w:tc>
          <w:tcPr>
            <w:tcW w:w="2506" w:type="dxa"/>
            <w:vAlign w:val="center"/>
          </w:tcPr>
          <w:p w:rsidR="009870B1" w:rsidRPr="009870B1" w:rsidRDefault="009870B1" w:rsidP="009870B1">
            <w:pPr>
              <w:jc w:val="center"/>
              <w:rPr>
                <w:b/>
                <w:sz w:val="20"/>
                <w:szCs w:val="18"/>
              </w:rPr>
            </w:pPr>
          </w:p>
        </w:tc>
      </w:tr>
      <w:tr w:rsidR="009870B1" w:rsidRPr="009870B1" w:rsidTr="00493721">
        <w:tc>
          <w:tcPr>
            <w:tcW w:w="2772" w:type="dxa"/>
            <w:vAlign w:val="center"/>
          </w:tcPr>
          <w:p w:rsidR="009870B1" w:rsidRPr="009870B1" w:rsidRDefault="009870B1" w:rsidP="009870B1">
            <w:pPr>
              <w:jc w:val="center"/>
              <w:rPr>
                <w:b/>
                <w:sz w:val="20"/>
                <w:szCs w:val="18"/>
              </w:rPr>
            </w:pPr>
          </w:p>
        </w:tc>
        <w:tc>
          <w:tcPr>
            <w:tcW w:w="2509" w:type="dxa"/>
            <w:vAlign w:val="center"/>
          </w:tcPr>
          <w:p w:rsidR="009870B1" w:rsidRPr="009870B1" w:rsidRDefault="009870B1" w:rsidP="009870B1">
            <w:pPr>
              <w:jc w:val="center"/>
              <w:rPr>
                <w:b/>
                <w:sz w:val="20"/>
                <w:szCs w:val="18"/>
              </w:rPr>
            </w:pPr>
          </w:p>
        </w:tc>
        <w:tc>
          <w:tcPr>
            <w:tcW w:w="1253" w:type="dxa"/>
            <w:vAlign w:val="center"/>
          </w:tcPr>
          <w:p w:rsidR="009870B1" w:rsidRPr="009870B1" w:rsidRDefault="009870B1" w:rsidP="009870B1">
            <w:pPr>
              <w:jc w:val="center"/>
              <w:rPr>
                <w:b/>
                <w:sz w:val="20"/>
                <w:szCs w:val="18"/>
              </w:rPr>
            </w:pPr>
          </w:p>
        </w:tc>
        <w:tc>
          <w:tcPr>
            <w:tcW w:w="1683" w:type="dxa"/>
            <w:vAlign w:val="center"/>
          </w:tcPr>
          <w:p w:rsidR="009870B1" w:rsidRPr="009870B1" w:rsidRDefault="009870B1" w:rsidP="009870B1">
            <w:pPr>
              <w:jc w:val="center"/>
              <w:rPr>
                <w:b/>
                <w:sz w:val="20"/>
                <w:szCs w:val="18"/>
              </w:rPr>
            </w:pPr>
          </w:p>
        </w:tc>
        <w:tc>
          <w:tcPr>
            <w:tcW w:w="4973" w:type="dxa"/>
            <w:vAlign w:val="center"/>
          </w:tcPr>
          <w:p w:rsidR="009870B1" w:rsidRPr="009870B1" w:rsidRDefault="009870B1" w:rsidP="009870B1">
            <w:pPr>
              <w:jc w:val="center"/>
              <w:rPr>
                <w:b/>
                <w:sz w:val="20"/>
                <w:szCs w:val="18"/>
              </w:rPr>
            </w:pPr>
          </w:p>
        </w:tc>
        <w:tc>
          <w:tcPr>
            <w:tcW w:w="2506" w:type="dxa"/>
            <w:vAlign w:val="center"/>
          </w:tcPr>
          <w:p w:rsidR="009870B1" w:rsidRPr="009870B1" w:rsidRDefault="009870B1" w:rsidP="009870B1">
            <w:pPr>
              <w:jc w:val="center"/>
              <w:rPr>
                <w:b/>
                <w:sz w:val="20"/>
                <w:szCs w:val="18"/>
              </w:rPr>
            </w:pPr>
          </w:p>
        </w:tc>
      </w:tr>
      <w:tr w:rsidR="009870B1" w:rsidRPr="009870B1" w:rsidTr="00493721">
        <w:tc>
          <w:tcPr>
            <w:tcW w:w="2772" w:type="dxa"/>
            <w:vAlign w:val="center"/>
          </w:tcPr>
          <w:p w:rsidR="009870B1" w:rsidRPr="009870B1" w:rsidRDefault="009870B1" w:rsidP="009870B1">
            <w:pPr>
              <w:jc w:val="center"/>
              <w:rPr>
                <w:b/>
                <w:sz w:val="20"/>
                <w:szCs w:val="18"/>
              </w:rPr>
            </w:pPr>
          </w:p>
        </w:tc>
        <w:tc>
          <w:tcPr>
            <w:tcW w:w="2509" w:type="dxa"/>
            <w:vAlign w:val="center"/>
          </w:tcPr>
          <w:p w:rsidR="009870B1" w:rsidRPr="009870B1" w:rsidRDefault="009870B1" w:rsidP="009870B1">
            <w:pPr>
              <w:jc w:val="center"/>
              <w:rPr>
                <w:b/>
                <w:sz w:val="20"/>
                <w:szCs w:val="18"/>
              </w:rPr>
            </w:pPr>
          </w:p>
        </w:tc>
        <w:tc>
          <w:tcPr>
            <w:tcW w:w="1253" w:type="dxa"/>
            <w:vAlign w:val="center"/>
          </w:tcPr>
          <w:p w:rsidR="009870B1" w:rsidRPr="009870B1" w:rsidRDefault="009870B1" w:rsidP="009870B1">
            <w:pPr>
              <w:jc w:val="center"/>
              <w:rPr>
                <w:b/>
                <w:sz w:val="20"/>
                <w:szCs w:val="18"/>
              </w:rPr>
            </w:pPr>
          </w:p>
        </w:tc>
        <w:tc>
          <w:tcPr>
            <w:tcW w:w="1683" w:type="dxa"/>
            <w:vAlign w:val="center"/>
          </w:tcPr>
          <w:p w:rsidR="009870B1" w:rsidRPr="009870B1" w:rsidRDefault="009870B1" w:rsidP="009870B1">
            <w:pPr>
              <w:jc w:val="center"/>
              <w:rPr>
                <w:b/>
                <w:sz w:val="20"/>
                <w:szCs w:val="18"/>
              </w:rPr>
            </w:pPr>
          </w:p>
        </w:tc>
        <w:tc>
          <w:tcPr>
            <w:tcW w:w="4973" w:type="dxa"/>
            <w:vAlign w:val="center"/>
          </w:tcPr>
          <w:p w:rsidR="009870B1" w:rsidRPr="009870B1" w:rsidRDefault="009870B1" w:rsidP="009870B1">
            <w:pPr>
              <w:jc w:val="center"/>
              <w:rPr>
                <w:b/>
                <w:sz w:val="20"/>
                <w:szCs w:val="18"/>
              </w:rPr>
            </w:pPr>
          </w:p>
        </w:tc>
        <w:tc>
          <w:tcPr>
            <w:tcW w:w="2506" w:type="dxa"/>
            <w:vAlign w:val="center"/>
          </w:tcPr>
          <w:p w:rsidR="009870B1" w:rsidRPr="009870B1" w:rsidRDefault="009870B1" w:rsidP="009870B1">
            <w:pPr>
              <w:jc w:val="center"/>
              <w:rPr>
                <w:b/>
                <w:sz w:val="20"/>
                <w:szCs w:val="18"/>
              </w:rPr>
            </w:pPr>
          </w:p>
        </w:tc>
      </w:tr>
    </w:tbl>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rFonts w:cstheme="minorHAnsi"/>
          <w:b/>
          <w:u w:val="single"/>
        </w:rPr>
      </w:pPr>
      <w:r w:rsidRPr="009870B1">
        <w:rPr>
          <w:rFonts w:cstheme="minorHAnsi"/>
          <w:b/>
          <w:u w:val="single"/>
        </w:rPr>
        <w:t>Télécharger les « fiches matricules »</w:t>
      </w:r>
    </w:p>
    <w:p w:rsidR="009870B1" w:rsidRPr="009870B1" w:rsidRDefault="009870B1" w:rsidP="009870B1">
      <w:pPr>
        <w:spacing w:after="0" w:line="240" w:lineRule="auto"/>
        <w:rPr>
          <w:rFonts w:cstheme="minorHAnsi"/>
        </w:rPr>
      </w:pPr>
      <w:r w:rsidRPr="009870B1">
        <w:rPr>
          <w:rFonts w:cstheme="minorHAnsi"/>
        </w:rPr>
        <w:t xml:space="preserve">Sur le site des Archives départementales de Guadeloupe, dans « nos collections », sélectionner les « registres matricules militaires ». </w:t>
      </w:r>
    </w:p>
    <w:p w:rsidR="009870B1" w:rsidRPr="009870B1" w:rsidRDefault="009870B1" w:rsidP="009870B1">
      <w:pPr>
        <w:spacing w:after="0" w:line="240" w:lineRule="auto"/>
        <w:rPr>
          <w:rFonts w:cstheme="minorHAnsi"/>
        </w:rPr>
      </w:pPr>
      <w:hyperlink r:id="rId8" w:history="1">
        <w:r w:rsidRPr="009870B1">
          <w:rPr>
            <w:rFonts w:cstheme="minorHAnsi"/>
            <w:color w:val="0563C1" w:themeColor="hyperlink"/>
            <w:u w:val="single"/>
          </w:rPr>
          <w:t>http://www.archivesguadeloupe.fr/archives-en-ligne/matricules-search-form.html</w:t>
        </w:r>
      </w:hyperlink>
    </w:p>
    <w:p w:rsidR="009870B1" w:rsidRPr="009870B1" w:rsidRDefault="009870B1" w:rsidP="009870B1">
      <w:pPr>
        <w:spacing w:after="0" w:line="240" w:lineRule="auto"/>
        <w:rPr>
          <w:rFonts w:cstheme="minorHAnsi"/>
        </w:rPr>
      </w:pPr>
      <w:r w:rsidRPr="009870B1">
        <w:rPr>
          <w:rFonts w:cstheme="minorHAnsi"/>
        </w:rPr>
        <w:t>Chercher les fiches des soldats, en entrant leur année de classe de mobilisation (elle correspond à leur année de naissance + 20). Sélectionner le « registre » correspondant au numéro de matricule du soldat : les soldats sont classés par ordre croissant de numéro de matricule. Recopier la « cote » du registre correspondant (par exemple, cote 1R97).</w:t>
      </w:r>
    </w:p>
    <w:p w:rsidR="009870B1" w:rsidRPr="009870B1" w:rsidRDefault="009870B1" w:rsidP="009870B1">
      <w:pPr>
        <w:spacing w:after="0" w:line="240" w:lineRule="auto"/>
        <w:rPr>
          <w:rFonts w:cstheme="minorHAnsi"/>
        </w:rPr>
      </w:pPr>
      <w:r w:rsidRPr="009870B1">
        <w:rPr>
          <w:rFonts w:cstheme="minorHAnsi"/>
        </w:rPr>
        <w:t xml:space="preserve"> Télécharger la fiche matricule de chacun des soldats.</w:t>
      </w: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rFonts w:cstheme="minorHAnsi"/>
          <w:b/>
          <w:u w:val="single"/>
        </w:rPr>
      </w:pPr>
      <w:r w:rsidRPr="009870B1">
        <w:rPr>
          <w:rFonts w:cstheme="minorHAnsi"/>
          <w:b/>
          <w:u w:val="single"/>
        </w:rPr>
        <w:t>Construire un tableau pour chacun des soldats</w:t>
      </w: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r w:rsidRPr="009870B1">
        <w:rPr>
          <w:rFonts w:cstheme="minorHAnsi"/>
        </w:rPr>
        <w:t>Compléter le tableau suivant, afin de retracer le parcours de chacun des soldats.</w:t>
      </w: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sz w:val="24"/>
          <w:szCs w:val="24"/>
        </w:rPr>
      </w:pPr>
    </w:p>
    <w:tbl>
      <w:tblPr>
        <w:tblStyle w:val="Grilledutableau"/>
        <w:tblW w:w="0" w:type="auto"/>
        <w:tblLook w:val="04A0" w:firstRow="1" w:lastRow="0" w:firstColumn="1" w:lastColumn="0" w:noHBand="0" w:noVBand="1"/>
      </w:tblPr>
      <w:tblGrid>
        <w:gridCol w:w="1925"/>
        <w:gridCol w:w="1156"/>
        <w:gridCol w:w="2244"/>
        <w:gridCol w:w="1278"/>
        <w:gridCol w:w="280"/>
        <w:gridCol w:w="687"/>
        <w:gridCol w:w="2242"/>
      </w:tblGrid>
      <w:tr w:rsidR="009870B1" w:rsidRPr="009870B1" w:rsidTr="00493721">
        <w:tc>
          <w:tcPr>
            <w:tcW w:w="1925" w:type="dxa"/>
            <w:tcBorders>
              <w:top w:val="single" w:sz="36" w:space="0" w:color="auto"/>
              <w:left w:val="single" w:sz="36" w:space="0" w:color="auto"/>
            </w:tcBorders>
            <w:shd w:val="clear" w:color="auto" w:fill="F2F2F2" w:themeFill="background1" w:themeFillShade="F2"/>
          </w:tcPr>
          <w:p w:rsidR="009870B1" w:rsidRPr="009870B1" w:rsidRDefault="009870B1" w:rsidP="009870B1">
            <w:pPr>
              <w:rPr>
                <w:rFonts w:ascii="Calibri" w:hAnsi="Calibri" w:cs="Calibri"/>
                <w:b/>
              </w:rPr>
            </w:pPr>
            <w:r w:rsidRPr="009870B1">
              <w:rPr>
                <w:rFonts w:ascii="Calibri" w:hAnsi="Calibri" w:cs="Calibri"/>
                <w:b/>
              </w:rPr>
              <w:t>Cote (Archives départementales de Guadeloupe</w:t>
            </w:r>
          </w:p>
        </w:tc>
        <w:tc>
          <w:tcPr>
            <w:tcW w:w="7887" w:type="dxa"/>
            <w:gridSpan w:val="6"/>
            <w:tcBorders>
              <w:top w:val="single" w:sz="36" w:space="0" w:color="auto"/>
              <w:right w:val="single" w:sz="36" w:space="0" w:color="auto"/>
            </w:tcBorders>
          </w:tcPr>
          <w:p w:rsidR="009870B1" w:rsidRPr="009870B1" w:rsidRDefault="009870B1" w:rsidP="009870B1">
            <w:pPr>
              <w:rPr>
                <w:rFonts w:ascii="Calibri" w:hAnsi="Calibri" w:cs="Calibri"/>
              </w:rPr>
            </w:pPr>
          </w:p>
        </w:tc>
      </w:tr>
      <w:tr w:rsidR="009870B1" w:rsidRPr="009870B1" w:rsidTr="00493721">
        <w:tc>
          <w:tcPr>
            <w:tcW w:w="1925" w:type="dxa"/>
            <w:tcBorders>
              <w:top w:val="single" w:sz="36" w:space="0" w:color="auto"/>
              <w:left w:val="single" w:sz="36" w:space="0" w:color="auto"/>
            </w:tcBorders>
            <w:shd w:val="clear" w:color="auto" w:fill="F2F2F2" w:themeFill="background1" w:themeFillShade="F2"/>
            <w:vAlign w:val="center"/>
          </w:tcPr>
          <w:p w:rsidR="009870B1" w:rsidRPr="009870B1" w:rsidRDefault="009870B1" w:rsidP="009870B1">
            <w:pPr>
              <w:rPr>
                <w:rFonts w:ascii="Calibri" w:hAnsi="Calibri" w:cs="Calibri"/>
                <w:b/>
              </w:rPr>
            </w:pPr>
            <w:r w:rsidRPr="009870B1">
              <w:rPr>
                <w:rFonts w:ascii="Calibri" w:hAnsi="Calibri" w:cs="Calibri"/>
                <w:b/>
              </w:rPr>
              <w:t>NOM</w:t>
            </w:r>
          </w:p>
        </w:tc>
        <w:tc>
          <w:tcPr>
            <w:tcW w:w="3400" w:type="dxa"/>
            <w:gridSpan w:val="2"/>
            <w:tcBorders>
              <w:top w:val="single" w:sz="36" w:space="0" w:color="auto"/>
              <w:right w:val="single" w:sz="36" w:space="0" w:color="auto"/>
            </w:tcBorders>
          </w:tcPr>
          <w:p w:rsidR="009870B1" w:rsidRPr="009870B1" w:rsidRDefault="009870B1" w:rsidP="009870B1">
            <w:pPr>
              <w:rPr>
                <w:rFonts w:ascii="Calibri" w:hAnsi="Calibri" w:cs="Calibri"/>
              </w:rPr>
            </w:pPr>
          </w:p>
        </w:tc>
        <w:tc>
          <w:tcPr>
            <w:tcW w:w="1278" w:type="dxa"/>
            <w:tcBorders>
              <w:top w:val="single" w:sz="36" w:space="0" w:color="auto"/>
              <w:left w:val="single" w:sz="36" w:space="0" w:color="auto"/>
            </w:tcBorders>
            <w:shd w:val="clear" w:color="auto" w:fill="F2F2F2" w:themeFill="background1" w:themeFillShade="F2"/>
            <w:vAlign w:val="center"/>
          </w:tcPr>
          <w:p w:rsidR="009870B1" w:rsidRPr="009870B1" w:rsidRDefault="009870B1" w:rsidP="009870B1">
            <w:pPr>
              <w:rPr>
                <w:rFonts w:ascii="Calibri" w:hAnsi="Calibri" w:cs="Calibri"/>
                <w:b/>
              </w:rPr>
            </w:pPr>
            <w:r w:rsidRPr="009870B1">
              <w:rPr>
                <w:rFonts w:ascii="Calibri" w:hAnsi="Calibri" w:cs="Calibri"/>
                <w:b/>
              </w:rPr>
              <w:t>Numéro matricule</w:t>
            </w:r>
          </w:p>
        </w:tc>
        <w:tc>
          <w:tcPr>
            <w:tcW w:w="3209" w:type="dxa"/>
            <w:gridSpan w:val="3"/>
            <w:tcBorders>
              <w:top w:val="single" w:sz="36" w:space="0" w:color="auto"/>
              <w:right w:val="single" w:sz="36" w:space="0" w:color="auto"/>
            </w:tcBorders>
          </w:tcPr>
          <w:p w:rsidR="009870B1" w:rsidRPr="009870B1" w:rsidRDefault="009870B1" w:rsidP="009870B1">
            <w:pPr>
              <w:rPr>
                <w:rFonts w:ascii="Calibri" w:hAnsi="Calibri" w:cs="Calibri"/>
              </w:rPr>
            </w:pPr>
          </w:p>
        </w:tc>
      </w:tr>
      <w:tr w:rsidR="009870B1" w:rsidRPr="009870B1" w:rsidTr="00493721">
        <w:tc>
          <w:tcPr>
            <w:tcW w:w="1925" w:type="dxa"/>
            <w:tcBorders>
              <w:left w:val="single" w:sz="36" w:space="0" w:color="auto"/>
              <w:bottom w:val="single" w:sz="36" w:space="0" w:color="auto"/>
            </w:tcBorders>
            <w:shd w:val="clear" w:color="auto" w:fill="F2F2F2" w:themeFill="background1" w:themeFillShade="F2"/>
            <w:vAlign w:val="center"/>
          </w:tcPr>
          <w:p w:rsidR="009870B1" w:rsidRPr="009870B1" w:rsidRDefault="009870B1" w:rsidP="009870B1">
            <w:pPr>
              <w:rPr>
                <w:rFonts w:ascii="Calibri" w:hAnsi="Calibri" w:cs="Calibri"/>
                <w:b/>
              </w:rPr>
            </w:pPr>
            <w:r w:rsidRPr="009870B1">
              <w:rPr>
                <w:rFonts w:ascii="Calibri" w:hAnsi="Calibri" w:cs="Calibri"/>
                <w:b/>
              </w:rPr>
              <w:t xml:space="preserve">Prénoms </w:t>
            </w:r>
          </w:p>
        </w:tc>
        <w:tc>
          <w:tcPr>
            <w:tcW w:w="3400" w:type="dxa"/>
            <w:gridSpan w:val="2"/>
            <w:tcBorders>
              <w:bottom w:val="single" w:sz="36" w:space="0" w:color="auto"/>
              <w:right w:val="single" w:sz="36" w:space="0" w:color="auto"/>
            </w:tcBorders>
          </w:tcPr>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tc>
        <w:tc>
          <w:tcPr>
            <w:tcW w:w="1278" w:type="dxa"/>
            <w:tcBorders>
              <w:left w:val="single" w:sz="36" w:space="0" w:color="auto"/>
              <w:bottom w:val="single" w:sz="36" w:space="0" w:color="auto"/>
            </w:tcBorders>
            <w:shd w:val="clear" w:color="auto" w:fill="F2F2F2" w:themeFill="background1" w:themeFillShade="F2"/>
            <w:vAlign w:val="center"/>
          </w:tcPr>
          <w:p w:rsidR="009870B1" w:rsidRPr="009870B1" w:rsidRDefault="009870B1" w:rsidP="009870B1">
            <w:pPr>
              <w:rPr>
                <w:rFonts w:ascii="Calibri" w:hAnsi="Calibri" w:cs="Calibri"/>
                <w:b/>
              </w:rPr>
            </w:pPr>
            <w:r w:rsidRPr="009870B1">
              <w:rPr>
                <w:rFonts w:ascii="Calibri" w:hAnsi="Calibri" w:cs="Calibri"/>
                <w:b/>
              </w:rPr>
              <w:t>Classe (année)</w:t>
            </w:r>
          </w:p>
        </w:tc>
        <w:tc>
          <w:tcPr>
            <w:tcW w:w="3209" w:type="dxa"/>
            <w:gridSpan w:val="3"/>
            <w:tcBorders>
              <w:bottom w:val="single" w:sz="36" w:space="0" w:color="auto"/>
              <w:right w:val="single" w:sz="36" w:space="0" w:color="auto"/>
            </w:tcBorders>
          </w:tcPr>
          <w:p w:rsidR="009870B1" w:rsidRPr="009870B1" w:rsidRDefault="009870B1" w:rsidP="009870B1">
            <w:pPr>
              <w:rPr>
                <w:rFonts w:ascii="Calibri" w:hAnsi="Calibri" w:cs="Calibri"/>
              </w:rPr>
            </w:pPr>
          </w:p>
        </w:tc>
      </w:tr>
      <w:tr w:rsidR="009870B1" w:rsidRPr="009870B1" w:rsidTr="00493721">
        <w:trPr>
          <w:trHeight w:val="139"/>
        </w:trPr>
        <w:tc>
          <w:tcPr>
            <w:tcW w:w="5325" w:type="dxa"/>
            <w:gridSpan w:val="3"/>
            <w:tcBorders>
              <w:top w:val="single" w:sz="36" w:space="0" w:color="auto"/>
              <w:left w:val="single" w:sz="36" w:space="0" w:color="auto"/>
              <w:right w:val="single" w:sz="36" w:space="0" w:color="auto"/>
            </w:tcBorders>
            <w:shd w:val="clear" w:color="auto" w:fill="F2F2F2" w:themeFill="background1" w:themeFillShade="F2"/>
          </w:tcPr>
          <w:p w:rsidR="009870B1" w:rsidRPr="009870B1" w:rsidRDefault="009870B1" w:rsidP="009870B1">
            <w:pPr>
              <w:jc w:val="center"/>
              <w:rPr>
                <w:rFonts w:ascii="Calibri" w:hAnsi="Calibri" w:cs="Calibri"/>
                <w:b/>
              </w:rPr>
            </w:pPr>
            <w:r w:rsidRPr="009870B1">
              <w:rPr>
                <w:rFonts w:ascii="Calibri" w:hAnsi="Calibri" w:cs="Calibri"/>
                <w:b/>
              </w:rPr>
              <w:t>État civil</w:t>
            </w:r>
          </w:p>
        </w:tc>
        <w:tc>
          <w:tcPr>
            <w:tcW w:w="4487" w:type="dxa"/>
            <w:gridSpan w:val="4"/>
            <w:tcBorders>
              <w:top w:val="single" w:sz="36" w:space="0" w:color="auto"/>
              <w:left w:val="single" w:sz="36" w:space="0" w:color="auto"/>
              <w:right w:val="single" w:sz="36" w:space="0" w:color="auto"/>
            </w:tcBorders>
            <w:shd w:val="clear" w:color="auto" w:fill="F2F2F2" w:themeFill="background1" w:themeFillShade="F2"/>
          </w:tcPr>
          <w:p w:rsidR="009870B1" w:rsidRPr="009870B1" w:rsidRDefault="009870B1" w:rsidP="009870B1">
            <w:pPr>
              <w:jc w:val="center"/>
              <w:rPr>
                <w:rFonts w:ascii="Calibri" w:hAnsi="Calibri" w:cs="Calibri"/>
                <w:b/>
              </w:rPr>
            </w:pPr>
            <w:r w:rsidRPr="009870B1">
              <w:rPr>
                <w:rFonts w:ascii="Calibri" w:hAnsi="Calibri" w:cs="Calibri"/>
                <w:b/>
              </w:rPr>
              <w:t>Description</w:t>
            </w:r>
          </w:p>
        </w:tc>
      </w:tr>
      <w:tr w:rsidR="009870B1" w:rsidRPr="009870B1" w:rsidTr="00493721">
        <w:trPr>
          <w:trHeight w:val="138"/>
        </w:trPr>
        <w:tc>
          <w:tcPr>
            <w:tcW w:w="3081" w:type="dxa"/>
            <w:gridSpan w:val="2"/>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Date de naissance : </w:t>
            </w:r>
          </w:p>
          <w:p w:rsidR="009870B1" w:rsidRPr="009870B1" w:rsidRDefault="009870B1" w:rsidP="009870B1">
            <w:pPr>
              <w:rPr>
                <w:rFonts w:ascii="Calibri" w:hAnsi="Calibri" w:cs="Calibri"/>
              </w:rPr>
            </w:pPr>
          </w:p>
        </w:tc>
        <w:tc>
          <w:tcPr>
            <w:tcW w:w="2244"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Lieu de naissance : </w:t>
            </w:r>
          </w:p>
        </w:tc>
        <w:tc>
          <w:tcPr>
            <w:tcW w:w="2245" w:type="dxa"/>
            <w:gridSpan w:val="3"/>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Cheveux :</w:t>
            </w:r>
          </w:p>
        </w:tc>
        <w:tc>
          <w:tcPr>
            <w:tcW w:w="2242"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Sourcils :</w:t>
            </w:r>
          </w:p>
        </w:tc>
      </w:tr>
      <w:tr w:rsidR="009870B1" w:rsidRPr="009870B1" w:rsidTr="00493721">
        <w:trPr>
          <w:trHeight w:val="138"/>
        </w:trPr>
        <w:tc>
          <w:tcPr>
            <w:tcW w:w="3081" w:type="dxa"/>
            <w:gridSpan w:val="2"/>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Père : </w:t>
            </w:r>
          </w:p>
          <w:p w:rsidR="009870B1" w:rsidRPr="009870B1" w:rsidRDefault="009870B1" w:rsidP="009870B1">
            <w:pPr>
              <w:rPr>
                <w:rFonts w:ascii="Calibri" w:hAnsi="Calibri" w:cs="Calibri"/>
              </w:rPr>
            </w:pPr>
          </w:p>
        </w:tc>
        <w:tc>
          <w:tcPr>
            <w:tcW w:w="2244"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Mère : </w:t>
            </w:r>
          </w:p>
        </w:tc>
        <w:tc>
          <w:tcPr>
            <w:tcW w:w="2245" w:type="dxa"/>
            <w:gridSpan w:val="3"/>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Yeux : </w:t>
            </w:r>
          </w:p>
        </w:tc>
        <w:tc>
          <w:tcPr>
            <w:tcW w:w="2242"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Front : </w:t>
            </w:r>
          </w:p>
        </w:tc>
      </w:tr>
      <w:tr w:rsidR="009870B1" w:rsidRPr="009870B1" w:rsidTr="00493721">
        <w:trPr>
          <w:trHeight w:val="138"/>
        </w:trPr>
        <w:tc>
          <w:tcPr>
            <w:tcW w:w="5325" w:type="dxa"/>
            <w:gridSpan w:val="3"/>
            <w:tcBorders>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Profession : </w:t>
            </w:r>
          </w:p>
          <w:p w:rsidR="009870B1" w:rsidRPr="009870B1" w:rsidRDefault="009870B1" w:rsidP="009870B1">
            <w:pPr>
              <w:rPr>
                <w:rFonts w:ascii="Calibri" w:hAnsi="Calibri" w:cs="Calibri"/>
              </w:rPr>
            </w:pPr>
          </w:p>
        </w:tc>
        <w:tc>
          <w:tcPr>
            <w:tcW w:w="2245" w:type="dxa"/>
            <w:gridSpan w:val="3"/>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Nez : </w:t>
            </w:r>
          </w:p>
        </w:tc>
        <w:tc>
          <w:tcPr>
            <w:tcW w:w="2242"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Bouche : </w:t>
            </w:r>
          </w:p>
        </w:tc>
      </w:tr>
      <w:tr w:rsidR="009870B1" w:rsidRPr="009870B1" w:rsidTr="00493721">
        <w:trPr>
          <w:trHeight w:val="138"/>
        </w:trPr>
        <w:tc>
          <w:tcPr>
            <w:tcW w:w="5325" w:type="dxa"/>
            <w:gridSpan w:val="3"/>
            <w:tcBorders>
              <w:top w:val="single" w:sz="36" w:space="0" w:color="auto"/>
              <w:left w:val="single" w:sz="36" w:space="0" w:color="auto"/>
              <w:right w:val="single" w:sz="36" w:space="0" w:color="auto"/>
            </w:tcBorders>
            <w:shd w:val="clear" w:color="auto" w:fill="F2F2F2" w:themeFill="background1" w:themeFillShade="F2"/>
            <w:vAlign w:val="center"/>
          </w:tcPr>
          <w:p w:rsidR="009870B1" w:rsidRPr="009870B1" w:rsidRDefault="009870B1" w:rsidP="009870B1">
            <w:pPr>
              <w:jc w:val="center"/>
              <w:rPr>
                <w:rFonts w:ascii="Calibri" w:hAnsi="Calibri" w:cs="Calibri"/>
                <w:b/>
              </w:rPr>
            </w:pPr>
            <w:r w:rsidRPr="009870B1">
              <w:rPr>
                <w:rFonts w:ascii="Calibri" w:hAnsi="Calibri" w:cs="Calibri"/>
                <w:b/>
              </w:rPr>
              <w:t>Parcours militaire</w:t>
            </w:r>
          </w:p>
        </w:tc>
        <w:tc>
          <w:tcPr>
            <w:tcW w:w="2245" w:type="dxa"/>
            <w:gridSpan w:val="3"/>
            <w:tcBorders>
              <w:lef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Menton : </w:t>
            </w:r>
          </w:p>
          <w:p w:rsidR="009870B1" w:rsidRPr="009870B1" w:rsidRDefault="009870B1" w:rsidP="009870B1">
            <w:pPr>
              <w:rPr>
                <w:rFonts w:ascii="Calibri" w:hAnsi="Calibri" w:cs="Calibri"/>
              </w:rPr>
            </w:pPr>
          </w:p>
        </w:tc>
        <w:tc>
          <w:tcPr>
            <w:tcW w:w="2242" w:type="dxa"/>
            <w:tcBorders>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Visage : </w:t>
            </w:r>
          </w:p>
        </w:tc>
      </w:tr>
      <w:tr w:rsidR="009870B1" w:rsidRPr="009870B1" w:rsidTr="00493721">
        <w:trPr>
          <w:trHeight w:val="138"/>
        </w:trPr>
        <w:tc>
          <w:tcPr>
            <w:tcW w:w="5325" w:type="dxa"/>
            <w:gridSpan w:val="3"/>
            <w:vMerge w:val="restart"/>
            <w:tcBorders>
              <w:left w:val="single" w:sz="36" w:space="0" w:color="auto"/>
              <w:right w:val="single" w:sz="36" w:space="0" w:color="auto"/>
            </w:tcBorders>
          </w:tcPr>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tc>
        <w:tc>
          <w:tcPr>
            <w:tcW w:w="4487" w:type="dxa"/>
            <w:gridSpan w:val="4"/>
            <w:tcBorders>
              <w:left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Taille : </w:t>
            </w: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4487" w:type="dxa"/>
            <w:gridSpan w:val="4"/>
            <w:tcBorders>
              <w:left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Marques particulières : </w:t>
            </w: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4487" w:type="dxa"/>
            <w:gridSpan w:val="4"/>
            <w:tcBorders>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Degré d’instruction : </w:t>
            </w: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4487" w:type="dxa"/>
            <w:gridSpan w:val="4"/>
            <w:tcBorders>
              <w:top w:val="single" w:sz="36" w:space="0" w:color="auto"/>
              <w:left w:val="single" w:sz="36" w:space="0" w:color="auto"/>
              <w:right w:val="single" w:sz="36" w:space="0" w:color="auto"/>
            </w:tcBorders>
            <w:shd w:val="clear" w:color="auto" w:fill="F2F2F2" w:themeFill="background1" w:themeFillShade="F2"/>
          </w:tcPr>
          <w:p w:rsidR="009870B1" w:rsidRPr="009870B1" w:rsidRDefault="009870B1" w:rsidP="009870B1">
            <w:pPr>
              <w:jc w:val="center"/>
              <w:rPr>
                <w:rFonts w:ascii="Calibri" w:hAnsi="Calibri" w:cs="Calibri"/>
                <w:b/>
              </w:rPr>
            </w:pPr>
            <w:r w:rsidRPr="009870B1">
              <w:rPr>
                <w:rFonts w:ascii="Calibri" w:hAnsi="Calibri" w:cs="Calibri"/>
                <w:b/>
              </w:rPr>
              <w:t>Affectations</w:t>
            </w: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1558" w:type="dxa"/>
            <w:gridSpan w:val="2"/>
            <w:tcBorders>
              <w:left w:val="single" w:sz="36" w:space="0" w:color="auto"/>
            </w:tcBorders>
            <w:vAlign w:val="center"/>
          </w:tcPr>
          <w:p w:rsidR="009870B1" w:rsidRPr="009870B1" w:rsidRDefault="009870B1" w:rsidP="009870B1">
            <w:pPr>
              <w:rPr>
                <w:rFonts w:ascii="Calibri" w:hAnsi="Calibri" w:cs="Calibri"/>
              </w:rPr>
            </w:pPr>
            <w:r w:rsidRPr="009870B1">
              <w:rPr>
                <w:rFonts w:ascii="Calibri" w:hAnsi="Calibri" w:cs="Calibri"/>
              </w:rPr>
              <w:t>Armée active</w:t>
            </w:r>
          </w:p>
        </w:tc>
        <w:tc>
          <w:tcPr>
            <w:tcW w:w="2929" w:type="dxa"/>
            <w:gridSpan w:val="2"/>
            <w:tcBorders>
              <w:right w:val="single" w:sz="36" w:space="0" w:color="auto"/>
            </w:tcBorders>
          </w:tcPr>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1558" w:type="dxa"/>
            <w:gridSpan w:val="2"/>
            <w:tcBorders>
              <w:left w:val="single" w:sz="36" w:space="0" w:color="auto"/>
            </w:tcBorders>
            <w:vAlign w:val="center"/>
          </w:tcPr>
          <w:p w:rsidR="009870B1" w:rsidRPr="009870B1" w:rsidRDefault="009870B1" w:rsidP="009870B1">
            <w:pPr>
              <w:rPr>
                <w:rFonts w:ascii="Calibri" w:hAnsi="Calibri" w:cs="Calibri"/>
              </w:rPr>
            </w:pPr>
            <w:r w:rsidRPr="009870B1">
              <w:rPr>
                <w:rFonts w:ascii="Calibri" w:hAnsi="Calibri" w:cs="Calibri"/>
              </w:rPr>
              <w:t>Réserve</w:t>
            </w:r>
          </w:p>
        </w:tc>
        <w:tc>
          <w:tcPr>
            <w:tcW w:w="2929" w:type="dxa"/>
            <w:gridSpan w:val="2"/>
            <w:tcBorders>
              <w:right w:val="single" w:sz="36" w:space="0" w:color="auto"/>
            </w:tcBorders>
          </w:tcPr>
          <w:p w:rsidR="009870B1" w:rsidRPr="009870B1" w:rsidRDefault="009870B1" w:rsidP="009870B1">
            <w:pPr>
              <w:rPr>
                <w:rFonts w:ascii="Calibri" w:hAnsi="Calibri" w:cs="Calibri"/>
              </w:rPr>
            </w:pP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1558" w:type="dxa"/>
            <w:gridSpan w:val="2"/>
            <w:tcBorders>
              <w:left w:val="single" w:sz="36" w:space="0" w:color="auto"/>
              <w:bottom w:val="single" w:sz="36" w:space="0" w:color="auto"/>
            </w:tcBorders>
            <w:vAlign w:val="center"/>
          </w:tcPr>
          <w:p w:rsidR="009870B1" w:rsidRPr="009870B1" w:rsidRDefault="009870B1" w:rsidP="009870B1">
            <w:pPr>
              <w:rPr>
                <w:rFonts w:ascii="Calibri" w:hAnsi="Calibri" w:cs="Calibri"/>
              </w:rPr>
            </w:pPr>
            <w:r w:rsidRPr="009870B1">
              <w:rPr>
                <w:rFonts w:ascii="Calibri" w:hAnsi="Calibri" w:cs="Calibri"/>
              </w:rPr>
              <w:t>Armée territoriale</w:t>
            </w:r>
          </w:p>
        </w:tc>
        <w:tc>
          <w:tcPr>
            <w:tcW w:w="2929" w:type="dxa"/>
            <w:gridSpan w:val="2"/>
            <w:tcBorders>
              <w:bottom w:val="single" w:sz="36" w:space="0" w:color="auto"/>
              <w:right w:val="single" w:sz="36" w:space="0" w:color="auto"/>
            </w:tcBorders>
          </w:tcPr>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right w:val="single" w:sz="36" w:space="0" w:color="auto"/>
            </w:tcBorders>
          </w:tcPr>
          <w:p w:rsidR="009870B1" w:rsidRPr="009870B1" w:rsidRDefault="009870B1" w:rsidP="009870B1">
            <w:pPr>
              <w:rPr>
                <w:rFonts w:ascii="Calibri" w:hAnsi="Calibri" w:cs="Calibri"/>
              </w:rPr>
            </w:pPr>
          </w:p>
        </w:tc>
        <w:tc>
          <w:tcPr>
            <w:tcW w:w="4487" w:type="dxa"/>
            <w:gridSpan w:val="4"/>
            <w:tcBorders>
              <w:top w:val="single" w:sz="36" w:space="0" w:color="auto"/>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Domiciles successifs : </w:t>
            </w:r>
          </w:p>
          <w:p w:rsidR="009870B1" w:rsidRPr="009870B1" w:rsidRDefault="009870B1" w:rsidP="009870B1">
            <w:pPr>
              <w:rPr>
                <w:rFonts w:ascii="Calibri" w:hAnsi="Calibri" w:cs="Calibri"/>
              </w:rPr>
            </w:pPr>
          </w:p>
        </w:tc>
      </w:tr>
      <w:tr w:rsidR="009870B1" w:rsidRPr="009870B1" w:rsidTr="00493721">
        <w:tc>
          <w:tcPr>
            <w:tcW w:w="5325" w:type="dxa"/>
            <w:gridSpan w:val="3"/>
            <w:vMerge/>
            <w:tcBorders>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p>
        </w:tc>
        <w:tc>
          <w:tcPr>
            <w:tcW w:w="4487" w:type="dxa"/>
            <w:gridSpan w:val="4"/>
            <w:tcBorders>
              <w:top w:val="single" w:sz="36" w:space="0" w:color="auto"/>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Condamnations : </w:t>
            </w:r>
          </w:p>
          <w:p w:rsidR="009870B1" w:rsidRPr="009870B1" w:rsidRDefault="009870B1" w:rsidP="009870B1">
            <w:pPr>
              <w:rPr>
                <w:rFonts w:ascii="Calibri" w:hAnsi="Calibri" w:cs="Calibri"/>
              </w:rPr>
            </w:pPr>
          </w:p>
        </w:tc>
      </w:tr>
      <w:tr w:rsidR="009870B1" w:rsidRPr="009870B1" w:rsidTr="00493721">
        <w:tc>
          <w:tcPr>
            <w:tcW w:w="5325" w:type="dxa"/>
            <w:gridSpan w:val="3"/>
            <w:tcBorders>
              <w:top w:val="single" w:sz="36" w:space="0" w:color="auto"/>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Citations et décorations :</w:t>
            </w:r>
          </w:p>
          <w:p w:rsidR="009870B1" w:rsidRPr="009870B1" w:rsidRDefault="009870B1" w:rsidP="009870B1">
            <w:pPr>
              <w:rPr>
                <w:rFonts w:ascii="Calibri" w:hAnsi="Calibri" w:cs="Calibri"/>
              </w:rPr>
            </w:pPr>
          </w:p>
        </w:tc>
        <w:tc>
          <w:tcPr>
            <w:tcW w:w="4487" w:type="dxa"/>
            <w:gridSpan w:val="4"/>
            <w:tcBorders>
              <w:top w:val="single" w:sz="36" w:space="0" w:color="auto"/>
              <w:left w:val="single" w:sz="36" w:space="0" w:color="auto"/>
              <w:bottom w:val="single" w:sz="36" w:space="0" w:color="auto"/>
              <w:right w:val="single" w:sz="36" w:space="0" w:color="auto"/>
            </w:tcBorders>
          </w:tcPr>
          <w:p w:rsidR="009870B1" w:rsidRPr="009870B1" w:rsidRDefault="009870B1" w:rsidP="009870B1">
            <w:pPr>
              <w:rPr>
                <w:rFonts w:ascii="Calibri" w:hAnsi="Calibri" w:cs="Calibri"/>
              </w:rPr>
            </w:pPr>
            <w:r w:rsidRPr="009870B1">
              <w:rPr>
                <w:rFonts w:ascii="Calibri" w:hAnsi="Calibri" w:cs="Calibri"/>
              </w:rPr>
              <w:t xml:space="preserve">Remarques particulières : </w:t>
            </w:r>
          </w:p>
          <w:p w:rsidR="009870B1" w:rsidRPr="009870B1" w:rsidRDefault="009870B1" w:rsidP="009870B1">
            <w:pPr>
              <w:rPr>
                <w:rFonts w:ascii="Calibri" w:hAnsi="Calibri" w:cs="Calibri"/>
              </w:rPr>
            </w:pPr>
          </w:p>
        </w:tc>
      </w:tr>
    </w:tbl>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numPr>
          <w:ilvl w:val="0"/>
          <w:numId w:val="1"/>
        </w:numPr>
        <w:spacing w:after="0" w:line="240" w:lineRule="auto"/>
        <w:contextualSpacing/>
        <w:rPr>
          <w:b/>
          <w:sz w:val="24"/>
          <w:szCs w:val="24"/>
          <w:u w:val="single"/>
        </w:rPr>
      </w:pPr>
      <w:r w:rsidRPr="009870B1">
        <w:rPr>
          <w:b/>
          <w:sz w:val="24"/>
          <w:szCs w:val="24"/>
          <w:u w:val="single"/>
        </w:rPr>
        <w:t>Piste de travail collaboratif :</w:t>
      </w:r>
      <w:r w:rsidRPr="009870B1">
        <w:rPr>
          <w:sz w:val="24"/>
          <w:szCs w:val="24"/>
        </w:rPr>
        <w:t xml:space="preserve"> </w:t>
      </w:r>
      <w:r w:rsidRPr="009870B1">
        <w:rPr>
          <w:b/>
          <w:sz w:val="24"/>
          <w:szCs w:val="24"/>
          <w:u w:val="single"/>
        </w:rPr>
        <w:t>Traiter les données du tableau en élaborant des statistiques</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r w:rsidRPr="009870B1">
        <w:rPr>
          <w:sz w:val="24"/>
          <w:szCs w:val="24"/>
        </w:rPr>
        <w:t>A partir du tableau récapitulatif, les élèves peuvent élaborer des statistiques pour comparer le parcours des soldats de leur commune à celui des soldats de l’hexagone et à celui des soldats de Baie-Mahault et Petit-Canal. Cela peut prendre la forme d’un travail collaboratif.</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b/>
          <w:sz w:val="24"/>
          <w:szCs w:val="24"/>
        </w:rPr>
      </w:pPr>
      <w:r w:rsidRPr="009870B1">
        <w:rPr>
          <w:b/>
          <w:sz w:val="24"/>
          <w:szCs w:val="24"/>
        </w:rPr>
        <w:t>Exemple d’activité donnée à une classe de 1</w:t>
      </w:r>
      <w:r w:rsidRPr="009870B1">
        <w:rPr>
          <w:b/>
          <w:sz w:val="24"/>
          <w:szCs w:val="24"/>
          <w:vertAlign w:val="superscript"/>
        </w:rPr>
        <w:t>e</w:t>
      </w:r>
      <w:r w:rsidRPr="009870B1">
        <w:rPr>
          <w:b/>
          <w:sz w:val="24"/>
          <w:szCs w:val="24"/>
        </w:rPr>
        <w:t xml:space="preserve"> S (année scolaire 2018-2019) : </w:t>
      </w:r>
    </w:p>
    <w:p w:rsidR="009870B1" w:rsidRPr="009870B1" w:rsidRDefault="009870B1" w:rsidP="009870B1">
      <w:pPr>
        <w:spacing w:after="0" w:line="240" w:lineRule="auto"/>
        <w:rPr>
          <w:sz w:val="24"/>
          <w:szCs w:val="24"/>
        </w:rPr>
      </w:pPr>
    </w:p>
    <w:tbl>
      <w:tblPr>
        <w:tblStyle w:val="Grilledutableau"/>
        <w:tblW w:w="10768" w:type="dxa"/>
        <w:tblLook w:val="04A0" w:firstRow="1" w:lastRow="0" w:firstColumn="1" w:lastColumn="0" w:noHBand="0" w:noVBand="1"/>
      </w:tblPr>
      <w:tblGrid>
        <w:gridCol w:w="1838"/>
        <w:gridCol w:w="8930"/>
      </w:tblGrid>
      <w:tr w:rsidR="009870B1" w:rsidRPr="009870B1" w:rsidTr="00493721">
        <w:tc>
          <w:tcPr>
            <w:tcW w:w="1838" w:type="dxa"/>
          </w:tcPr>
          <w:p w:rsidR="009870B1" w:rsidRPr="009870B1" w:rsidRDefault="009870B1" w:rsidP="009870B1">
            <w:pPr>
              <w:rPr>
                <w:b/>
              </w:rPr>
            </w:pPr>
            <w:r w:rsidRPr="009870B1">
              <w:rPr>
                <w:b/>
              </w:rPr>
              <w:t>Groupes</w:t>
            </w:r>
          </w:p>
        </w:tc>
        <w:tc>
          <w:tcPr>
            <w:tcW w:w="8930" w:type="dxa"/>
          </w:tcPr>
          <w:p w:rsidR="009870B1" w:rsidRPr="009870B1" w:rsidRDefault="009870B1" w:rsidP="009870B1">
            <w:pPr>
              <w:rPr>
                <w:b/>
              </w:rPr>
            </w:pPr>
            <w:r w:rsidRPr="009870B1">
              <w:rPr>
                <w:b/>
              </w:rPr>
              <w:t>Tâche à effectuer</w:t>
            </w:r>
          </w:p>
        </w:tc>
      </w:tr>
      <w:tr w:rsidR="009870B1" w:rsidRPr="009870B1" w:rsidTr="00493721">
        <w:trPr>
          <w:trHeight w:val="1172"/>
        </w:trPr>
        <w:tc>
          <w:tcPr>
            <w:tcW w:w="1838" w:type="dxa"/>
            <w:vAlign w:val="center"/>
          </w:tcPr>
          <w:p w:rsidR="009870B1" w:rsidRPr="009870B1" w:rsidRDefault="009870B1" w:rsidP="009870B1">
            <w:pPr>
              <w:jc w:val="center"/>
            </w:pPr>
            <w:r w:rsidRPr="009870B1">
              <w:t>1</w:t>
            </w:r>
          </w:p>
        </w:tc>
        <w:tc>
          <w:tcPr>
            <w:tcW w:w="8930" w:type="dxa"/>
          </w:tcPr>
          <w:p w:rsidR="009870B1" w:rsidRPr="009870B1" w:rsidRDefault="009870B1" w:rsidP="009870B1">
            <w:r w:rsidRPr="009870B1">
              <w:t xml:space="preserve">Relire le tableau récapitulatif et en uniformiser les données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pPr>
            <w:r w:rsidRPr="009870B1">
              <w:t>2</w:t>
            </w:r>
          </w:p>
          <w:p w:rsidR="009870B1" w:rsidRPr="009870B1" w:rsidRDefault="009870B1" w:rsidP="009870B1">
            <w:pPr>
              <w:jc w:val="center"/>
            </w:pPr>
          </w:p>
        </w:tc>
        <w:tc>
          <w:tcPr>
            <w:tcW w:w="8930" w:type="dxa"/>
          </w:tcPr>
          <w:p w:rsidR="009870B1" w:rsidRPr="009870B1" w:rsidRDefault="009870B1" w:rsidP="009870B1">
            <w:r w:rsidRPr="009870B1">
              <w:t xml:space="preserve">Dans la colonne décès, inscrire l’âge de chaque soldat à sa mort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pPr>
            <w:r w:rsidRPr="009870B1">
              <w:t>3</w:t>
            </w:r>
          </w:p>
        </w:tc>
        <w:tc>
          <w:tcPr>
            <w:tcW w:w="8930" w:type="dxa"/>
          </w:tcPr>
          <w:p w:rsidR="009870B1" w:rsidRPr="009870B1" w:rsidRDefault="009870B1" w:rsidP="009870B1">
            <w:r w:rsidRPr="009870B1">
              <w:t xml:space="preserve">Calculer la moyenne de l’âge des soldats à leur décès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pPr>
            <w:r w:rsidRPr="009870B1">
              <w:t>4</w:t>
            </w:r>
          </w:p>
        </w:tc>
        <w:tc>
          <w:tcPr>
            <w:tcW w:w="8930" w:type="dxa"/>
          </w:tcPr>
          <w:p w:rsidR="009870B1" w:rsidRPr="009870B1" w:rsidRDefault="009870B1" w:rsidP="009870B1">
            <w:r w:rsidRPr="009870B1">
              <w:t xml:space="preserve">Construire un graphique (histogramme) représentant le nombre de soldats par âge au décès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rPr>
                <w:lang w:val="en-US"/>
              </w:rPr>
            </w:pPr>
            <w:r w:rsidRPr="009870B1">
              <w:rPr>
                <w:lang w:val="en-US"/>
              </w:rPr>
              <w:t>5</w:t>
            </w:r>
          </w:p>
        </w:tc>
        <w:tc>
          <w:tcPr>
            <w:tcW w:w="8930" w:type="dxa"/>
          </w:tcPr>
          <w:p w:rsidR="009870B1" w:rsidRPr="009870B1" w:rsidRDefault="009870B1" w:rsidP="009870B1">
            <w:r w:rsidRPr="009870B1">
              <w:t xml:space="preserve">Construire un graphique (diagramme circulaire type “camembert”) représentant le nombre de soldats par type de décès : tués au combat, suite de blessures, maladies, autre </w:t>
            </w:r>
          </w:p>
        </w:tc>
      </w:tr>
      <w:tr w:rsidR="009870B1" w:rsidRPr="009870B1" w:rsidTr="00493721">
        <w:trPr>
          <w:trHeight w:val="1172"/>
        </w:trPr>
        <w:tc>
          <w:tcPr>
            <w:tcW w:w="1838" w:type="dxa"/>
            <w:vAlign w:val="center"/>
          </w:tcPr>
          <w:p w:rsidR="009870B1" w:rsidRPr="009870B1" w:rsidRDefault="009870B1" w:rsidP="009870B1">
            <w:pPr>
              <w:jc w:val="center"/>
            </w:pPr>
            <w:r w:rsidRPr="009870B1">
              <w:t>6</w:t>
            </w:r>
          </w:p>
        </w:tc>
        <w:tc>
          <w:tcPr>
            <w:tcW w:w="8930" w:type="dxa"/>
          </w:tcPr>
          <w:p w:rsidR="009870B1" w:rsidRPr="009870B1" w:rsidRDefault="009870B1" w:rsidP="009870B1">
            <w:r w:rsidRPr="009870B1">
              <w:t xml:space="preserve">Construire un graphique (diagramme circulaire type “camembert”) représentant le nombre de soldats qui ont participé uniquement au front de l’Ouest et ceux qui ont participé aussi au front de l’Est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pPr>
            <w:r w:rsidRPr="009870B1">
              <w:t>9</w:t>
            </w:r>
          </w:p>
        </w:tc>
        <w:tc>
          <w:tcPr>
            <w:tcW w:w="8930" w:type="dxa"/>
          </w:tcPr>
          <w:p w:rsidR="009870B1" w:rsidRPr="009870B1" w:rsidRDefault="009870B1" w:rsidP="009870B1">
            <w:r w:rsidRPr="009870B1">
              <w:t xml:space="preserve">Construire un graphique (diagramme circulaire type “camembert”) représentant le nombre de soldats par type régiment : régiment d’infanterie, régiment d’infanterie coloniale, régiment d’artillerie, autre. </w:t>
            </w:r>
          </w:p>
          <w:p w:rsidR="009870B1" w:rsidRPr="009870B1" w:rsidRDefault="009870B1" w:rsidP="009870B1"/>
        </w:tc>
      </w:tr>
      <w:tr w:rsidR="009870B1" w:rsidRPr="009870B1" w:rsidTr="00493721">
        <w:trPr>
          <w:trHeight w:val="1172"/>
        </w:trPr>
        <w:tc>
          <w:tcPr>
            <w:tcW w:w="1838" w:type="dxa"/>
            <w:vAlign w:val="center"/>
          </w:tcPr>
          <w:p w:rsidR="009870B1" w:rsidRPr="009870B1" w:rsidRDefault="009870B1" w:rsidP="009870B1">
            <w:pPr>
              <w:jc w:val="center"/>
            </w:pPr>
            <w:r w:rsidRPr="009870B1">
              <w:t>8</w:t>
            </w:r>
          </w:p>
        </w:tc>
        <w:tc>
          <w:tcPr>
            <w:tcW w:w="8930" w:type="dxa"/>
          </w:tcPr>
          <w:p w:rsidR="009870B1" w:rsidRPr="009870B1" w:rsidRDefault="009870B1" w:rsidP="009870B1">
            <w:r w:rsidRPr="009870B1">
              <w:t xml:space="preserve">Construire un graphique (diagramme circulaire type « camembert ») représentant le nombre de soldats par grade (hommes du rang, sous-officier, officier) (pour les classer, chercher sur internet à quoi correspondent les différents grades du tableau) </w:t>
            </w:r>
          </w:p>
          <w:p w:rsidR="009870B1" w:rsidRPr="009870B1" w:rsidRDefault="009870B1" w:rsidP="009870B1"/>
        </w:tc>
      </w:tr>
    </w:tbl>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b/>
          <w:sz w:val="24"/>
          <w:szCs w:val="24"/>
        </w:rPr>
      </w:pPr>
      <w:r w:rsidRPr="009870B1">
        <w:rPr>
          <w:b/>
          <w:sz w:val="24"/>
          <w:szCs w:val="24"/>
        </w:rPr>
        <w:t xml:space="preserve">En comparaison, voici les statistiques à l’échelle nationale : </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r w:rsidRPr="009870B1">
        <w:rPr>
          <w:sz w:val="24"/>
          <w:szCs w:val="24"/>
        </w:rPr>
        <w:t>- moyenne de l’âge du décès : 27 ans</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r w:rsidRPr="009870B1">
        <w:rPr>
          <w:sz w:val="24"/>
          <w:szCs w:val="24"/>
        </w:rPr>
        <w:t>- circonstances des pertes :   51 % tués au combat ; 19 % suites de blessures ; 11 % maladies ; 19 % disparus</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r w:rsidRPr="009870B1">
        <w:rPr>
          <w:sz w:val="24"/>
          <w:szCs w:val="24"/>
        </w:rPr>
        <w:t>- participation au front oriental : 4,4 % (350 000 soldats sur 7,9 millions de soldats français mobilisés)</w:t>
      </w: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sz w:val="24"/>
          <w:szCs w:val="24"/>
        </w:rPr>
      </w:pP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rFonts w:cstheme="minorHAnsi"/>
          <w:b/>
          <w:u w:val="single"/>
        </w:rPr>
      </w:pPr>
      <w:r w:rsidRPr="009870B1">
        <w:rPr>
          <w:rFonts w:cstheme="minorHAnsi"/>
          <w:b/>
          <w:u w:val="single"/>
        </w:rPr>
        <w:t>Pour aller plus loin...</w:t>
      </w:r>
    </w:p>
    <w:p w:rsidR="009870B1" w:rsidRPr="009870B1" w:rsidRDefault="009870B1" w:rsidP="009870B1">
      <w:pPr>
        <w:spacing w:after="0" w:line="240" w:lineRule="auto"/>
        <w:rPr>
          <w:rFonts w:cstheme="minorHAnsi"/>
        </w:rPr>
      </w:pPr>
      <w:r w:rsidRPr="009870B1">
        <w:rPr>
          <w:rFonts w:cstheme="minorHAnsi"/>
        </w:rPr>
        <w:t xml:space="preserve">On peut aussi demander aux élèves d’aller chercher le parcours du régiment concerné sur le site « Mémoire des hommes » : </w:t>
      </w:r>
    </w:p>
    <w:p w:rsidR="009870B1" w:rsidRPr="009870B1" w:rsidRDefault="009870B1" w:rsidP="009870B1">
      <w:pPr>
        <w:spacing w:after="0" w:line="240" w:lineRule="auto"/>
        <w:rPr>
          <w:rFonts w:cstheme="minorHAnsi"/>
        </w:rPr>
      </w:pPr>
      <w:r w:rsidRPr="009870B1">
        <w:rPr>
          <w:rFonts w:cstheme="minorHAnsi"/>
        </w:rPr>
        <w:t>- chercher les « Historiques régimentaires » des unités engagées dans la Première Guerre mondiale </w:t>
      </w:r>
    </w:p>
    <w:p w:rsidR="009870B1" w:rsidRPr="009870B1" w:rsidRDefault="009870B1" w:rsidP="009870B1">
      <w:pPr>
        <w:spacing w:after="0" w:line="240" w:lineRule="auto"/>
        <w:rPr>
          <w:rFonts w:cstheme="minorHAnsi"/>
        </w:rPr>
      </w:pPr>
      <w:r w:rsidRPr="009870B1">
        <w:rPr>
          <w:rFonts w:cstheme="minorHAnsi"/>
        </w:rPr>
        <w:t>http://www.memoiredeshommes.sga.defense.gouv.fr/fr/article.php%3Flarub%3D51%26titre%3Dhistoriques-regimentaires-des-unites-engagees-dans-la-1re-guerre-mondiale</w:t>
      </w:r>
    </w:p>
    <w:p w:rsidR="009870B1" w:rsidRPr="009870B1" w:rsidRDefault="009870B1" w:rsidP="009870B1">
      <w:pPr>
        <w:spacing w:after="0" w:line="240" w:lineRule="auto"/>
        <w:rPr>
          <w:rFonts w:cstheme="minorHAnsi"/>
        </w:rPr>
      </w:pPr>
      <w:r w:rsidRPr="009870B1">
        <w:rPr>
          <w:rFonts w:cstheme="minorHAnsi"/>
        </w:rPr>
        <w:t>- chercher les « Journaux des marches et opérations », écrits à la main, relatant quasi quotidiennement les événements du régiment concerné</w:t>
      </w:r>
    </w:p>
    <w:p w:rsidR="009870B1" w:rsidRPr="009870B1" w:rsidRDefault="009870B1" w:rsidP="009870B1">
      <w:pPr>
        <w:spacing w:after="0" w:line="240" w:lineRule="auto"/>
        <w:rPr>
          <w:rFonts w:cstheme="minorHAnsi"/>
        </w:rPr>
      </w:pPr>
      <w:hyperlink r:id="rId9" w:history="1">
        <w:r w:rsidRPr="009870B1">
          <w:rPr>
            <w:rFonts w:cstheme="minorHAnsi"/>
            <w:color w:val="0563C1" w:themeColor="hyperlink"/>
            <w:u w:val="single"/>
          </w:rPr>
          <w:t>http://www.memoiredeshommes.sga.defense.gouv.fr/fr/article.php%3Flarub%3D2%26titre%3Djournaux-des-unites-engagees-dans-la-premiere-guerre-mondiale</w:t>
        </w:r>
      </w:hyperlink>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rFonts w:cstheme="minorHAnsi"/>
          <w:b/>
          <w:u w:val="single"/>
        </w:rPr>
      </w:pPr>
      <w:r w:rsidRPr="009870B1">
        <w:rPr>
          <w:rFonts w:cstheme="minorHAnsi"/>
          <w:b/>
          <w:u w:val="single"/>
        </w:rPr>
        <w:t>Production finale</w:t>
      </w:r>
    </w:p>
    <w:p w:rsidR="009870B1" w:rsidRPr="009870B1" w:rsidRDefault="009870B1" w:rsidP="009870B1">
      <w:pPr>
        <w:spacing w:after="0" w:line="240" w:lineRule="auto"/>
        <w:rPr>
          <w:rFonts w:cstheme="minorHAnsi"/>
        </w:rPr>
      </w:pPr>
      <w:r w:rsidRPr="009870B1">
        <w:rPr>
          <w:rFonts w:cstheme="minorHAnsi"/>
        </w:rPr>
        <w:t>Quelques idées…</w:t>
      </w:r>
    </w:p>
    <w:p w:rsidR="009870B1" w:rsidRPr="009870B1" w:rsidRDefault="009870B1" w:rsidP="009870B1">
      <w:pPr>
        <w:spacing w:after="0" w:line="240" w:lineRule="auto"/>
        <w:rPr>
          <w:rFonts w:cstheme="minorHAnsi"/>
        </w:rPr>
      </w:pPr>
      <w:r w:rsidRPr="009870B1">
        <w:rPr>
          <w:rFonts w:cstheme="minorHAnsi"/>
        </w:rPr>
        <w:t>- constitution d’une base de données en ligne par la classe</w:t>
      </w:r>
    </w:p>
    <w:p w:rsidR="009870B1" w:rsidRPr="009870B1" w:rsidRDefault="009870B1" w:rsidP="009870B1">
      <w:pPr>
        <w:spacing w:after="0" w:line="240" w:lineRule="auto"/>
        <w:rPr>
          <w:rFonts w:cstheme="minorHAnsi"/>
        </w:rPr>
      </w:pPr>
      <w:r w:rsidRPr="009870B1">
        <w:rPr>
          <w:rFonts w:cstheme="minorHAnsi"/>
        </w:rPr>
        <w:t>- réalisation de panneaux à exposer en classe ou au CDI</w:t>
      </w:r>
    </w:p>
    <w:p w:rsidR="009870B1" w:rsidRPr="009870B1" w:rsidRDefault="009870B1" w:rsidP="009870B1">
      <w:pPr>
        <w:spacing w:after="0" w:line="240" w:lineRule="auto"/>
        <w:rPr>
          <w:rFonts w:cstheme="minorHAnsi"/>
        </w:rPr>
      </w:pPr>
      <w:r w:rsidRPr="009870B1">
        <w:rPr>
          <w:rFonts w:cstheme="minorHAnsi"/>
        </w:rPr>
        <w:t>- présentation d’exposés à l’oral par les élèves</w:t>
      </w:r>
    </w:p>
    <w:p w:rsidR="009870B1" w:rsidRPr="009870B1" w:rsidRDefault="009870B1" w:rsidP="009870B1">
      <w:pPr>
        <w:spacing w:after="0" w:line="240" w:lineRule="auto"/>
        <w:rPr>
          <w:rFonts w:cstheme="minorHAnsi"/>
        </w:rPr>
      </w:pPr>
      <w:r w:rsidRPr="009870B1">
        <w:rPr>
          <w:rFonts w:cstheme="minorHAnsi"/>
        </w:rPr>
        <w:t>- travail d’écriture : relater le parcours d’un soldat ; rédiger une lettre ou un journal de soldat guadeloupéen</w:t>
      </w:r>
    </w:p>
    <w:p w:rsidR="009870B1" w:rsidRPr="009870B1" w:rsidRDefault="009870B1" w:rsidP="009870B1">
      <w:pPr>
        <w:spacing w:after="0" w:line="240" w:lineRule="auto"/>
        <w:rPr>
          <w:rFonts w:cstheme="minorHAnsi"/>
        </w:rPr>
      </w:pPr>
      <w:r w:rsidRPr="009870B1">
        <w:rPr>
          <w:rFonts w:cstheme="minorHAnsi"/>
        </w:rPr>
        <w:t>- représentation théâtrale</w:t>
      </w:r>
    </w:p>
    <w:p w:rsidR="009870B1" w:rsidRPr="009870B1" w:rsidRDefault="009870B1" w:rsidP="009870B1">
      <w:pPr>
        <w:spacing w:after="0" w:line="240" w:lineRule="auto"/>
        <w:rPr>
          <w:rFonts w:cstheme="minorHAnsi"/>
        </w:rPr>
      </w:pPr>
      <w:r w:rsidRPr="009870B1">
        <w:rPr>
          <w:rFonts w:cstheme="minorHAnsi"/>
        </w:rPr>
        <w:t>- participation aux commémorations dans la commune</w:t>
      </w:r>
    </w:p>
    <w:p w:rsidR="009870B1" w:rsidRPr="009870B1" w:rsidRDefault="009870B1" w:rsidP="009870B1">
      <w:pPr>
        <w:spacing w:after="0" w:line="240" w:lineRule="auto"/>
        <w:rPr>
          <w:rFonts w:cstheme="minorHAnsi"/>
        </w:rPr>
      </w:pPr>
      <w:r w:rsidRPr="009870B1">
        <w:rPr>
          <w:rFonts w:cstheme="minorHAnsi"/>
        </w:rPr>
        <w:t>- concours pour le cycle 3 « Les Petits artistes de la mémoire »</w:t>
      </w:r>
    </w:p>
    <w:p w:rsidR="009870B1" w:rsidRPr="009870B1" w:rsidRDefault="009870B1" w:rsidP="009870B1">
      <w:pPr>
        <w:spacing w:after="0" w:line="240" w:lineRule="auto"/>
        <w:rPr>
          <w:rFonts w:cstheme="minorHAnsi"/>
        </w:rPr>
      </w:pPr>
      <w:r w:rsidRPr="009870B1">
        <w:rPr>
          <w:rFonts w:cstheme="minorHAnsi"/>
        </w:rPr>
        <w:t>http://www.education.gouv.fr/cid57255/les-petits-artistes-de-la-memoire.html</w:t>
      </w:r>
    </w:p>
    <w:p w:rsidR="009870B1" w:rsidRPr="009870B1" w:rsidRDefault="009870B1" w:rsidP="009870B1">
      <w:pPr>
        <w:spacing w:after="0" w:line="240" w:lineRule="auto"/>
        <w:rPr>
          <w:rFonts w:cstheme="minorHAnsi"/>
        </w:rPr>
      </w:pPr>
      <w:r w:rsidRPr="009870B1">
        <w:rPr>
          <w:rFonts w:cstheme="minorHAnsi"/>
        </w:rPr>
        <w:t xml:space="preserve">- enrichissement du site collaboratif </w:t>
      </w:r>
      <w:proofErr w:type="spellStart"/>
      <w:r w:rsidRPr="009870B1">
        <w:rPr>
          <w:rFonts w:cstheme="minorHAnsi"/>
        </w:rPr>
        <w:t>Europeana</w:t>
      </w:r>
      <w:proofErr w:type="spellEnd"/>
      <w:r w:rsidRPr="009870B1">
        <w:rPr>
          <w:rFonts w:cstheme="minorHAnsi"/>
        </w:rPr>
        <w:t xml:space="preserve"> 14-18 : publication de documents sur la Grande Guerre </w:t>
      </w:r>
    </w:p>
    <w:p w:rsidR="009870B1" w:rsidRPr="009870B1" w:rsidRDefault="009870B1" w:rsidP="009870B1">
      <w:pPr>
        <w:spacing w:after="0" w:line="240" w:lineRule="auto"/>
        <w:rPr>
          <w:rFonts w:cstheme="minorHAnsi"/>
        </w:rPr>
      </w:pPr>
      <w:r w:rsidRPr="009870B1">
        <w:rPr>
          <w:rFonts w:cstheme="minorHAnsi"/>
        </w:rPr>
        <w:t>https://www.europeana.eu/portal/fr/collections/world-war-I/contribute#action=contributor</w:t>
      </w:r>
    </w:p>
    <w:p w:rsidR="009870B1" w:rsidRPr="009870B1" w:rsidRDefault="009870B1" w:rsidP="009870B1">
      <w:pPr>
        <w:spacing w:after="0" w:line="240" w:lineRule="auto"/>
        <w:rPr>
          <w:rFonts w:cstheme="minorHAnsi"/>
        </w:rPr>
      </w:pPr>
    </w:p>
    <w:p w:rsidR="009870B1" w:rsidRPr="009870B1" w:rsidRDefault="009870B1" w:rsidP="009870B1">
      <w:pPr>
        <w:spacing w:after="0" w:line="240" w:lineRule="auto"/>
        <w:rPr>
          <w:rFonts w:cstheme="minorHAnsi"/>
        </w:rPr>
      </w:pPr>
    </w:p>
    <w:p w:rsidR="009870B1" w:rsidRPr="009870B1" w:rsidRDefault="009870B1" w:rsidP="009870B1">
      <w:pPr>
        <w:numPr>
          <w:ilvl w:val="0"/>
          <w:numId w:val="1"/>
        </w:numPr>
        <w:spacing w:after="0" w:line="240" w:lineRule="auto"/>
        <w:contextualSpacing/>
        <w:rPr>
          <w:rFonts w:cstheme="minorHAnsi"/>
          <w:b/>
          <w:u w:val="single"/>
        </w:rPr>
      </w:pPr>
      <w:r w:rsidRPr="009870B1">
        <w:rPr>
          <w:rFonts w:cstheme="minorHAnsi"/>
          <w:b/>
          <w:u w:val="single"/>
        </w:rPr>
        <w:t>Bibliographie indicative</w:t>
      </w:r>
    </w:p>
    <w:p w:rsidR="009870B1" w:rsidRPr="009870B1" w:rsidRDefault="009870B1" w:rsidP="009870B1">
      <w:pPr>
        <w:spacing w:after="0" w:line="240" w:lineRule="auto"/>
        <w:rPr>
          <w:rFonts w:cstheme="minorHAnsi"/>
        </w:rPr>
      </w:pPr>
      <w:r w:rsidRPr="009870B1">
        <w:rPr>
          <w:rFonts w:cstheme="minorHAnsi"/>
        </w:rPr>
        <w:t xml:space="preserve">- Jacques Dumont, </w:t>
      </w:r>
      <w:r w:rsidRPr="009870B1">
        <w:rPr>
          <w:rFonts w:cstheme="minorHAnsi"/>
          <w:i/>
        </w:rPr>
        <w:t>L’Amère patrie, Histoire des Antilles françaises au XXe siècle</w:t>
      </w:r>
      <w:r w:rsidRPr="009870B1">
        <w:rPr>
          <w:rFonts w:cstheme="minorHAnsi"/>
        </w:rPr>
        <w:t>, Fayard, Paris, 2010.</w:t>
      </w:r>
    </w:p>
    <w:p w:rsidR="009870B1" w:rsidRPr="009870B1" w:rsidRDefault="009870B1" w:rsidP="009870B1">
      <w:pPr>
        <w:spacing w:after="0" w:line="240" w:lineRule="auto"/>
        <w:rPr>
          <w:rFonts w:cstheme="minorHAnsi"/>
        </w:rPr>
      </w:pPr>
      <w:r w:rsidRPr="009870B1">
        <w:rPr>
          <w:rFonts w:cstheme="minorHAnsi"/>
        </w:rPr>
        <w:t>- Articles consacrés à « La Caraïbe et la Première Guerre mondiale »,</w:t>
      </w:r>
      <w:r w:rsidRPr="009870B1">
        <w:rPr>
          <w:rFonts w:cstheme="minorHAnsi"/>
          <w:i/>
        </w:rPr>
        <w:t xml:space="preserve"> Bulletin de la Société d’histoire de la Guadeloupe</w:t>
      </w:r>
      <w:r w:rsidRPr="009870B1">
        <w:rPr>
          <w:rFonts w:cstheme="minorHAnsi"/>
        </w:rPr>
        <w:t>, n°168, mai-août 2014 (disponible en ligne https://www.erudit.org/fr/revues/bshg/2014-n168-bshg01537/)</w:t>
      </w:r>
    </w:p>
    <w:p w:rsidR="009870B1" w:rsidRPr="009870B1" w:rsidRDefault="009870B1" w:rsidP="009870B1">
      <w:pPr>
        <w:spacing w:after="0" w:line="240" w:lineRule="auto"/>
        <w:outlineLvl w:val="0"/>
        <w:rPr>
          <w:rFonts w:eastAsia="Times New Roman" w:cstheme="minorHAnsi"/>
          <w:bCs/>
          <w:kern w:val="36"/>
          <w:lang w:eastAsia="fr-FR"/>
        </w:rPr>
      </w:pPr>
      <w:r w:rsidRPr="009870B1">
        <w:rPr>
          <w:rFonts w:eastAsia="Times New Roman" w:cstheme="minorHAnsi"/>
          <w:bCs/>
          <w:kern w:val="36"/>
          <w:lang w:eastAsia="fr-FR"/>
        </w:rPr>
        <w:t xml:space="preserve">Notamment : </w:t>
      </w:r>
    </w:p>
    <w:p w:rsidR="009870B1" w:rsidRPr="009870B1" w:rsidRDefault="009870B1" w:rsidP="009870B1">
      <w:pPr>
        <w:spacing w:after="0" w:line="240" w:lineRule="auto"/>
        <w:ind w:left="284"/>
        <w:outlineLvl w:val="0"/>
        <w:rPr>
          <w:rFonts w:eastAsia="Times New Roman" w:cstheme="minorHAnsi"/>
          <w:color w:val="000000"/>
          <w:kern w:val="36"/>
          <w:lang w:eastAsia="fr-FR"/>
        </w:rPr>
      </w:pPr>
      <w:r w:rsidRPr="009870B1">
        <w:rPr>
          <w:rFonts w:eastAsia="Times New Roman" w:cstheme="minorHAnsi"/>
          <w:bCs/>
          <w:kern w:val="36"/>
          <w:lang w:eastAsia="fr-FR"/>
        </w:rPr>
        <w:t>- Pascale Forestier, «</w:t>
      </w:r>
      <w:r w:rsidRPr="009870B1">
        <w:rPr>
          <w:rFonts w:eastAsia="Times New Roman" w:cstheme="minorHAnsi"/>
          <w:b/>
          <w:bCs/>
          <w:kern w:val="36"/>
          <w:lang w:eastAsia="fr-FR"/>
        </w:rPr>
        <w:t> </w:t>
      </w:r>
      <w:r w:rsidRPr="009870B1">
        <w:rPr>
          <w:rFonts w:eastAsia="Times New Roman" w:cstheme="minorHAnsi"/>
          <w:color w:val="000000"/>
          <w:kern w:val="36"/>
          <w:lang w:eastAsia="fr-FR"/>
        </w:rPr>
        <w:t>La citoyenneté en guerre ? Les soldats guadeloupéens sur le front pendant la Première Guerre mondiale », p. 3-20 ;</w:t>
      </w:r>
    </w:p>
    <w:p w:rsidR="009870B1" w:rsidRPr="009870B1" w:rsidRDefault="009870B1" w:rsidP="009870B1">
      <w:pPr>
        <w:spacing w:after="0" w:line="240" w:lineRule="auto"/>
        <w:ind w:left="284"/>
        <w:outlineLvl w:val="0"/>
        <w:rPr>
          <w:rFonts w:eastAsia="Times New Roman" w:cstheme="minorHAnsi"/>
          <w:color w:val="000000"/>
          <w:kern w:val="36"/>
          <w:lang w:eastAsia="fr-FR"/>
        </w:rPr>
      </w:pPr>
      <w:r w:rsidRPr="009870B1">
        <w:rPr>
          <w:rFonts w:eastAsia="Times New Roman" w:cstheme="minorHAnsi"/>
          <w:color w:val="000000"/>
          <w:kern w:val="36"/>
          <w:lang w:eastAsia="fr-FR"/>
        </w:rPr>
        <w:t>- Gérard Lafleur, « La Première Guerre mondiale en Guadeloupe à travers la presse locale », p. 75-96 ;</w:t>
      </w:r>
    </w:p>
    <w:p w:rsidR="009870B1" w:rsidRPr="009870B1" w:rsidRDefault="009870B1" w:rsidP="009870B1">
      <w:pPr>
        <w:spacing w:after="0" w:line="240" w:lineRule="auto"/>
        <w:ind w:left="284"/>
        <w:outlineLvl w:val="0"/>
        <w:rPr>
          <w:rFonts w:eastAsia="Times New Roman" w:cstheme="minorHAnsi"/>
          <w:color w:val="000000"/>
          <w:kern w:val="36"/>
          <w:lang w:eastAsia="fr-FR"/>
        </w:rPr>
      </w:pPr>
      <w:r w:rsidRPr="009870B1">
        <w:rPr>
          <w:rFonts w:eastAsia="Times New Roman" w:cstheme="minorHAnsi"/>
          <w:color w:val="000000"/>
          <w:kern w:val="36"/>
          <w:lang w:eastAsia="fr-FR"/>
        </w:rPr>
        <w:t>- Anne Lebel, « De la difficulté de compter les soldats guadeloupéens morts pour la France dans la Première Guerre mondiale », p. 153-167 ;</w:t>
      </w:r>
    </w:p>
    <w:p w:rsidR="009870B1" w:rsidRPr="009870B1" w:rsidRDefault="009870B1" w:rsidP="009870B1">
      <w:pPr>
        <w:spacing w:after="0" w:line="240" w:lineRule="auto"/>
        <w:ind w:left="284"/>
        <w:rPr>
          <w:rFonts w:eastAsia="Times New Roman" w:cstheme="minorHAnsi"/>
          <w:lang w:eastAsia="fr-FR"/>
        </w:rPr>
      </w:pPr>
      <w:r w:rsidRPr="009870B1">
        <w:rPr>
          <w:rFonts w:cstheme="minorHAnsi"/>
          <w:bCs/>
          <w:color w:val="000000"/>
        </w:rPr>
        <w:t>- Séverine Laborie, «</w:t>
      </w:r>
      <w:r w:rsidRPr="009870B1">
        <w:rPr>
          <w:rFonts w:cstheme="minorHAnsi"/>
          <w:b/>
          <w:bCs/>
          <w:color w:val="000000"/>
        </w:rPr>
        <w:t> </w:t>
      </w:r>
      <w:r w:rsidRPr="009870B1">
        <w:rPr>
          <w:rFonts w:eastAsia="Times New Roman" w:cstheme="minorHAnsi"/>
          <w:color w:val="000000"/>
          <w:shd w:val="clear" w:color="auto" w:fill="FFFFFF"/>
          <w:lang w:eastAsia="fr-FR"/>
        </w:rPr>
        <w:t>Éléments remarquables de la commémoration des morts de la Guerre 14-18 : Les monuments aux morts de Guadeloupe », p. 169-198.</w:t>
      </w:r>
    </w:p>
    <w:p w:rsidR="009870B1" w:rsidRPr="009870B1" w:rsidRDefault="009870B1" w:rsidP="009870B1">
      <w:pPr>
        <w:spacing w:after="0" w:line="240" w:lineRule="auto"/>
        <w:rPr>
          <w:rFonts w:cstheme="minorHAnsi"/>
          <w:sz w:val="24"/>
          <w:szCs w:val="24"/>
        </w:rPr>
      </w:pPr>
    </w:p>
    <w:p w:rsidR="009870B1" w:rsidRDefault="009870B1">
      <w:bookmarkStart w:id="0" w:name="_GoBack"/>
      <w:bookmarkEnd w:id="0"/>
    </w:p>
    <w:sectPr w:rsidR="009870B1" w:rsidSect="004B26CB">
      <w:pgSz w:w="11900" w:h="16840"/>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3C0511F"/>
    <w:multiLevelType w:val="hybridMultilevel"/>
    <w:tmpl w:val="3DC87D0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0B1"/>
    <w:rsid w:val="009870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7496A38-5F3E-4817-BE6A-6784E8853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9870B1"/>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archivesguadeloupe.fr/archives-en-ligne/matricules-search-form.html" TargetMode="External"/><Relationship Id="rId3" Type="http://schemas.openxmlformats.org/officeDocument/2006/relationships/settings" Target="settings.xml"/><Relationship Id="rId7" Type="http://schemas.openxmlformats.org/officeDocument/2006/relationships/hyperlink" Target="http://www.memorialgenweb.org/memorial3/html/fr/resultdpt?dpt=971"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tif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memoiredeshommes.sga.defense.gouv.fr/fr/article.php%3Flarub%3D2%26titre%3Djournaux-des-unites-engagees-dans-la-premiere-guerre-mondial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1730</Words>
  <Characters>9519</Characters>
  <Application>Microsoft Office Word</Application>
  <DocSecurity>0</DocSecurity>
  <Lines>79</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dc:creator>
  <cp:keywords/>
  <dc:description/>
  <cp:lastModifiedBy>Sophie</cp:lastModifiedBy>
  <cp:revision>1</cp:revision>
  <dcterms:created xsi:type="dcterms:W3CDTF">2018-11-06T00:51:00Z</dcterms:created>
  <dcterms:modified xsi:type="dcterms:W3CDTF">2018-11-06T00:52:00Z</dcterms:modified>
</cp:coreProperties>
</file>