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93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10"/>
        <w:gridCol w:w="5510"/>
      </w:tblGrid>
      <w:tr w:rsidR="00345C86" w:rsidRPr="007C0072" w:rsidTr="00345C86">
        <w:trPr>
          <w:trHeight w:val="570"/>
        </w:trPr>
        <w:tc>
          <w:tcPr>
            <w:tcW w:w="10320" w:type="dxa"/>
            <w:gridSpan w:val="2"/>
            <w:shd w:val="clear" w:color="000000" w:fill="FFC000"/>
            <w:noWrap/>
            <w:vAlign w:val="center"/>
            <w:hideMark/>
          </w:tcPr>
          <w:p w:rsidR="00345C86" w:rsidRPr="007C0072" w:rsidRDefault="00345C86" w:rsidP="00345C86">
            <w:pPr>
              <w:spacing w:after="0" w:line="240" w:lineRule="auto"/>
              <w:jc w:val="center"/>
              <w:rPr>
                <w:rFonts w:ascii="Times New Roman" w:eastAsia="Times New Roman" w:hAnsi="Times New Roman" w:cs="Times New Roman"/>
                <w:b/>
                <w:bCs/>
                <w:lang w:eastAsia="fr-FR"/>
              </w:rPr>
            </w:pPr>
            <w:r w:rsidRPr="00345C86">
              <w:rPr>
                <w:rFonts w:ascii="Times New Roman" w:eastAsia="Times New Roman" w:hAnsi="Times New Roman" w:cs="Times New Roman"/>
                <w:b/>
                <w:bCs/>
                <w:lang w:eastAsia="fr-FR"/>
              </w:rPr>
              <w:t>Ministère compétent : Ministère de l'Education nationale, de la Jeunesse et des Sports</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r w:rsidRPr="00345C86">
              <w:rPr>
                <w:rFonts w:ascii="Arial" w:eastAsia="Times New Roman" w:hAnsi="Arial" w:cs="Arial"/>
                <w:b/>
                <w:bCs/>
                <w:lang w:eastAsia="fr-FR"/>
              </w:rPr>
              <w:t>Raison sociale de l'organisateur principal</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color w:val="000000"/>
                <w:lang w:eastAsia="fr-FR"/>
              </w:rPr>
            </w:pPr>
            <w:r w:rsidRPr="00345C86">
              <w:rPr>
                <w:rFonts w:ascii="Arial" w:eastAsia="Times New Roman" w:hAnsi="Arial" w:cs="Arial"/>
                <w:color w:val="000000"/>
                <w:lang w:eastAsia="fr-FR"/>
              </w:rPr>
              <w:t> </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proofErr w:type="spellStart"/>
            <w:r w:rsidRPr="00345C86">
              <w:rPr>
                <w:rFonts w:ascii="Arial" w:eastAsia="Times New Roman" w:hAnsi="Arial" w:cs="Arial"/>
                <w:b/>
                <w:bCs/>
                <w:lang w:eastAsia="fr-FR"/>
              </w:rPr>
              <w:t>Co-organisateurs</w:t>
            </w:r>
            <w:proofErr w:type="spellEnd"/>
            <w:r w:rsidRPr="00345C86">
              <w:rPr>
                <w:rFonts w:ascii="Arial" w:eastAsia="Times New Roman" w:hAnsi="Arial" w:cs="Arial"/>
                <w:b/>
                <w:bCs/>
                <w:lang w:eastAsia="fr-FR"/>
              </w:rPr>
              <w:t xml:space="preserve"> éventuels</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color w:val="000000"/>
                <w:lang w:eastAsia="fr-FR"/>
              </w:rPr>
            </w:pPr>
            <w:r w:rsidRPr="00345C86">
              <w:rPr>
                <w:rFonts w:ascii="Arial" w:eastAsia="Times New Roman" w:hAnsi="Arial" w:cs="Arial"/>
                <w:color w:val="000000"/>
                <w:lang w:eastAsia="fr-FR"/>
              </w:rPr>
              <w:t> </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r w:rsidRPr="00345C86">
              <w:rPr>
                <w:rFonts w:ascii="Arial" w:eastAsia="Times New Roman" w:hAnsi="Arial" w:cs="Arial"/>
                <w:b/>
                <w:bCs/>
                <w:lang w:eastAsia="fr-FR"/>
              </w:rPr>
              <w:t>Intitulé de l'évènement</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color w:val="000000"/>
                <w:lang w:eastAsia="fr-FR"/>
              </w:rPr>
            </w:pPr>
            <w:r w:rsidRPr="00345C86">
              <w:rPr>
                <w:rFonts w:ascii="Arial" w:eastAsia="Times New Roman" w:hAnsi="Arial" w:cs="Arial"/>
                <w:color w:val="000000"/>
                <w:lang w:eastAsia="fr-FR"/>
              </w:rPr>
              <w:t> </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r w:rsidRPr="00345C86">
              <w:rPr>
                <w:rFonts w:ascii="Arial" w:eastAsia="Times New Roman" w:hAnsi="Arial" w:cs="Arial"/>
                <w:b/>
                <w:bCs/>
                <w:lang w:eastAsia="fr-FR"/>
              </w:rPr>
              <w:t>Thème principal</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color w:val="000000"/>
                <w:lang w:eastAsia="fr-FR"/>
              </w:rPr>
            </w:pPr>
            <w:r w:rsidRPr="00345C86">
              <w:rPr>
                <w:rFonts w:ascii="Arial" w:eastAsia="Times New Roman" w:hAnsi="Arial" w:cs="Arial"/>
                <w:color w:val="000000"/>
                <w:lang w:eastAsia="fr-FR"/>
              </w:rPr>
              <w:t> </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r w:rsidRPr="00345C86">
              <w:rPr>
                <w:rFonts w:ascii="Arial" w:eastAsia="Times New Roman" w:hAnsi="Arial" w:cs="Arial"/>
                <w:b/>
                <w:bCs/>
                <w:lang w:eastAsia="fr-FR"/>
              </w:rPr>
              <w:t>Thèmes secondaires (le cas échéant)</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color w:val="000000"/>
                <w:lang w:eastAsia="fr-FR"/>
              </w:rPr>
            </w:pPr>
            <w:r w:rsidRPr="00345C86">
              <w:rPr>
                <w:rFonts w:ascii="Arial" w:eastAsia="Times New Roman" w:hAnsi="Arial" w:cs="Arial"/>
                <w:color w:val="000000"/>
                <w:lang w:eastAsia="fr-FR"/>
              </w:rPr>
              <w:t> </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r w:rsidRPr="00345C86">
              <w:rPr>
                <w:rFonts w:ascii="Arial" w:eastAsia="Times New Roman" w:hAnsi="Arial" w:cs="Arial"/>
                <w:b/>
                <w:bCs/>
                <w:lang w:eastAsia="fr-FR"/>
              </w:rPr>
              <w:t>Lieu envisagé et sa justification</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color w:val="000000"/>
                <w:lang w:eastAsia="fr-FR"/>
              </w:rPr>
            </w:pPr>
            <w:r w:rsidRPr="00345C86">
              <w:rPr>
                <w:rFonts w:ascii="Arial" w:eastAsia="Times New Roman" w:hAnsi="Arial" w:cs="Arial"/>
                <w:color w:val="000000"/>
                <w:lang w:eastAsia="fr-FR"/>
              </w:rPr>
              <w:t> </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r w:rsidRPr="00345C86">
              <w:rPr>
                <w:rFonts w:ascii="Arial" w:eastAsia="Times New Roman" w:hAnsi="Arial" w:cs="Arial"/>
                <w:b/>
                <w:bCs/>
                <w:lang w:eastAsia="fr-FR"/>
              </w:rPr>
              <w:t>Date envisagée et sa justification</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color w:val="000000"/>
                <w:lang w:eastAsia="fr-FR"/>
              </w:rPr>
            </w:pPr>
            <w:r w:rsidRPr="00345C86">
              <w:rPr>
                <w:rFonts w:ascii="Arial" w:eastAsia="Times New Roman" w:hAnsi="Arial" w:cs="Arial"/>
                <w:color w:val="000000"/>
                <w:lang w:eastAsia="fr-FR"/>
              </w:rPr>
              <w:t> </w:t>
            </w:r>
          </w:p>
        </w:tc>
      </w:tr>
      <w:tr w:rsidR="00345C86" w:rsidRPr="007C0072" w:rsidTr="00345C86">
        <w:trPr>
          <w:trHeight w:val="600"/>
        </w:trPr>
        <w:tc>
          <w:tcPr>
            <w:tcW w:w="4810" w:type="dxa"/>
            <w:shd w:val="clear" w:color="auto" w:fill="auto"/>
            <w:noWrap/>
            <w:vAlign w:val="center"/>
            <w:hideMark/>
          </w:tcPr>
          <w:p w:rsidR="00345C86" w:rsidRPr="00345C86" w:rsidRDefault="00345C86" w:rsidP="00345C86">
            <w:pPr>
              <w:spacing w:after="0" w:line="240" w:lineRule="auto"/>
              <w:rPr>
                <w:rFonts w:ascii="Arial" w:eastAsia="Times New Roman" w:hAnsi="Arial" w:cs="Arial"/>
                <w:b/>
                <w:bCs/>
                <w:lang w:eastAsia="fr-FR"/>
              </w:rPr>
            </w:pPr>
            <w:r w:rsidRPr="00345C86">
              <w:rPr>
                <w:rFonts w:ascii="Arial" w:eastAsia="Times New Roman" w:hAnsi="Arial" w:cs="Arial"/>
                <w:b/>
                <w:bCs/>
                <w:lang w:eastAsia="fr-FR"/>
              </w:rPr>
              <w:t>Nombre de participants attendus</w:t>
            </w:r>
          </w:p>
        </w:tc>
        <w:tc>
          <w:tcPr>
            <w:tcW w:w="5510" w:type="dxa"/>
            <w:shd w:val="clear" w:color="auto" w:fill="auto"/>
            <w:noWrap/>
            <w:vAlign w:val="bottom"/>
            <w:hideMark/>
          </w:tcPr>
          <w:p w:rsidR="00345C86" w:rsidRPr="00345C86" w:rsidRDefault="00345C86" w:rsidP="00345C86">
            <w:pPr>
              <w:spacing w:after="0" w:line="240" w:lineRule="auto"/>
              <w:rPr>
                <w:rFonts w:ascii="Arial" w:eastAsia="Times New Roman" w:hAnsi="Arial" w:cs="Arial"/>
                <w:lang w:eastAsia="fr-FR"/>
              </w:rPr>
            </w:pPr>
            <w:r w:rsidRPr="00345C86">
              <w:rPr>
                <w:rFonts w:ascii="Arial" w:eastAsia="Times New Roman" w:hAnsi="Arial" w:cs="Arial"/>
                <w:lang w:eastAsia="fr-FR"/>
              </w:rPr>
              <w:t> </w:t>
            </w:r>
          </w:p>
        </w:tc>
      </w:tr>
      <w:tr w:rsidR="00345C86" w:rsidRPr="007C0072" w:rsidTr="00345C86">
        <w:trPr>
          <w:trHeight w:val="315"/>
        </w:trPr>
        <w:tc>
          <w:tcPr>
            <w:tcW w:w="10320" w:type="dxa"/>
            <w:gridSpan w:val="2"/>
            <w:vMerge w:val="restart"/>
            <w:shd w:val="clear" w:color="auto" w:fill="auto"/>
            <w:noWrap/>
            <w:vAlign w:val="center"/>
            <w:hideMark/>
          </w:tcPr>
          <w:p w:rsidR="00345C86" w:rsidRPr="00345C86" w:rsidRDefault="00345C86" w:rsidP="00345C86">
            <w:pPr>
              <w:spacing w:after="0" w:line="240" w:lineRule="auto"/>
              <w:jc w:val="center"/>
              <w:rPr>
                <w:rFonts w:ascii="Arial" w:eastAsia="Times New Roman" w:hAnsi="Arial" w:cs="Arial"/>
                <w:b/>
                <w:bCs/>
                <w:lang w:eastAsia="fr-FR"/>
              </w:rPr>
            </w:pPr>
            <w:r w:rsidRPr="00345C86">
              <w:rPr>
                <w:rFonts w:ascii="Arial" w:eastAsia="Times New Roman" w:hAnsi="Arial" w:cs="Arial"/>
                <w:b/>
                <w:bCs/>
                <w:lang w:eastAsia="fr-FR"/>
              </w:rPr>
              <w:t>Description de l'événement</w:t>
            </w:r>
          </w:p>
        </w:tc>
      </w:tr>
      <w:tr w:rsidR="00345C86" w:rsidRPr="007C0072" w:rsidTr="00345C86">
        <w:trPr>
          <w:trHeight w:val="450"/>
        </w:trPr>
        <w:tc>
          <w:tcPr>
            <w:tcW w:w="10320" w:type="dxa"/>
            <w:gridSpan w:val="2"/>
            <w:vMerge/>
            <w:shd w:val="clear" w:color="auto" w:fill="auto"/>
            <w:vAlign w:val="center"/>
            <w:hideMark/>
          </w:tcPr>
          <w:p w:rsidR="00345C86" w:rsidRPr="007C0072" w:rsidRDefault="00345C86" w:rsidP="00345C86">
            <w:pPr>
              <w:spacing w:after="0" w:line="240" w:lineRule="auto"/>
              <w:rPr>
                <w:rFonts w:ascii="Times New Roman" w:eastAsia="Times New Roman" w:hAnsi="Times New Roman" w:cs="Times New Roman"/>
                <w:b/>
                <w:bCs/>
                <w:color w:val="FFFFFF"/>
                <w:lang w:eastAsia="fr-FR"/>
              </w:rPr>
            </w:pPr>
          </w:p>
        </w:tc>
      </w:tr>
      <w:tr w:rsidR="00345C86" w:rsidRPr="007C0072" w:rsidTr="00345C86">
        <w:trPr>
          <w:trHeight w:val="450"/>
        </w:trPr>
        <w:tc>
          <w:tcPr>
            <w:tcW w:w="10320" w:type="dxa"/>
            <w:gridSpan w:val="2"/>
            <w:vMerge w:val="restart"/>
            <w:shd w:val="clear" w:color="auto" w:fill="auto"/>
            <w:noWrap/>
            <w:vAlign w:val="bottom"/>
            <w:hideMark/>
          </w:tcPr>
          <w:p w:rsidR="00345C86" w:rsidRDefault="00345C86" w:rsidP="00345C86">
            <w:pPr>
              <w:spacing w:after="0" w:line="240" w:lineRule="auto"/>
              <w:rPr>
                <w:rFonts w:ascii="Calibri" w:eastAsia="Times New Roman" w:hAnsi="Calibri" w:cs="Calibri"/>
                <w:color w:val="FFFFFF"/>
                <w:lang w:eastAsia="fr-FR"/>
              </w:rPr>
            </w:pPr>
          </w:p>
          <w:p w:rsidR="00345C86" w:rsidRDefault="00345C86" w:rsidP="00345C86">
            <w:pPr>
              <w:spacing w:after="0" w:line="240" w:lineRule="auto"/>
              <w:rPr>
                <w:rFonts w:ascii="Calibri" w:eastAsia="Times New Roman" w:hAnsi="Calibri" w:cs="Calibri"/>
                <w:color w:val="FFFFFF"/>
                <w:lang w:eastAsia="fr-FR"/>
              </w:rPr>
            </w:pPr>
          </w:p>
          <w:p w:rsidR="00345C86" w:rsidRDefault="00345C86" w:rsidP="00345C86">
            <w:pPr>
              <w:spacing w:after="0" w:line="240" w:lineRule="auto"/>
              <w:rPr>
                <w:rFonts w:ascii="Calibri" w:eastAsia="Times New Roman" w:hAnsi="Calibri" w:cs="Calibri"/>
                <w:color w:val="FFFFFF"/>
                <w:lang w:eastAsia="fr-FR"/>
              </w:rPr>
            </w:pPr>
          </w:p>
          <w:p w:rsidR="00345C86" w:rsidRDefault="00345C86" w:rsidP="00345C86">
            <w:pPr>
              <w:spacing w:after="0" w:line="240" w:lineRule="auto"/>
              <w:rPr>
                <w:rFonts w:ascii="Calibri" w:eastAsia="Times New Roman" w:hAnsi="Calibri" w:cs="Calibri"/>
                <w:color w:val="FFFFFF"/>
                <w:lang w:eastAsia="fr-FR"/>
              </w:rPr>
            </w:pPr>
          </w:p>
          <w:p w:rsidR="00345C86" w:rsidRDefault="00345C86" w:rsidP="00345C86">
            <w:pPr>
              <w:spacing w:after="0" w:line="240" w:lineRule="auto"/>
              <w:rPr>
                <w:rFonts w:ascii="Calibri" w:eastAsia="Times New Roman" w:hAnsi="Calibri" w:cs="Calibri"/>
                <w:color w:val="FFFFFF"/>
                <w:lang w:eastAsia="fr-FR"/>
              </w:rPr>
            </w:pPr>
          </w:p>
          <w:p w:rsidR="00345C86" w:rsidRDefault="00345C86" w:rsidP="00345C86">
            <w:pPr>
              <w:spacing w:after="0" w:line="240" w:lineRule="auto"/>
              <w:rPr>
                <w:rFonts w:ascii="Calibri" w:eastAsia="Times New Roman" w:hAnsi="Calibri" w:cs="Calibri"/>
                <w:color w:val="FFFFFF"/>
                <w:lang w:eastAsia="fr-FR"/>
              </w:rPr>
            </w:pPr>
          </w:p>
          <w:p w:rsidR="00345C86" w:rsidRDefault="00345C86" w:rsidP="00345C86">
            <w:pPr>
              <w:spacing w:after="0" w:line="240" w:lineRule="auto"/>
              <w:rPr>
                <w:rFonts w:ascii="Calibri" w:eastAsia="Times New Roman" w:hAnsi="Calibri" w:cs="Calibri"/>
                <w:color w:val="FFFFFF"/>
                <w:lang w:eastAsia="fr-FR"/>
              </w:rPr>
            </w:pPr>
          </w:p>
          <w:p w:rsidR="00345C86" w:rsidRDefault="00345C86" w:rsidP="00345C86">
            <w:pPr>
              <w:spacing w:after="0" w:line="240" w:lineRule="auto"/>
              <w:rPr>
                <w:rFonts w:ascii="Calibri" w:eastAsia="Times New Roman" w:hAnsi="Calibri" w:cs="Calibri"/>
                <w:color w:val="FFFFFF"/>
                <w:lang w:eastAsia="fr-FR"/>
              </w:rPr>
            </w:pPr>
          </w:p>
          <w:p w:rsidR="00345C86" w:rsidRPr="007C0072" w:rsidRDefault="00345C86" w:rsidP="00345C86">
            <w:pPr>
              <w:spacing w:after="0" w:line="240" w:lineRule="auto"/>
              <w:rPr>
                <w:rFonts w:ascii="Calibri" w:eastAsia="Times New Roman" w:hAnsi="Calibri" w:cs="Calibri"/>
                <w:color w:val="FFFFFF"/>
                <w:lang w:eastAsia="fr-FR"/>
              </w:rPr>
            </w:pPr>
          </w:p>
        </w:tc>
      </w:tr>
      <w:tr w:rsidR="00345C86" w:rsidRPr="007C0072" w:rsidTr="00345C86">
        <w:trPr>
          <w:trHeight w:val="450"/>
        </w:trPr>
        <w:tc>
          <w:tcPr>
            <w:tcW w:w="10320" w:type="dxa"/>
            <w:gridSpan w:val="2"/>
            <w:vMerge/>
            <w:vAlign w:val="center"/>
            <w:hideMark/>
          </w:tcPr>
          <w:p w:rsidR="00345C86" w:rsidRPr="007C0072" w:rsidRDefault="00345C86" w:rsidP="00345C86">
            <w:pPr>
              <w:spacing w:after="0" w:line="240" w:lineRule="auto"/>
              <w:rPr>
                <w:rFonts w:ascii="Calibri" w:eastAsia="Times New Roman" w:hAnsi="Calibri" w:cs="Calibri"/>
                <w:color w:val="FFFFFF"/>
                <w:lang w:eastAsia="fr-FR"/>
              </w:rPr>
            </w:pPr>
          </w:p>
        </w:tc>
      </w:tr>
      <w:tr w:rsidR="00345C86" w:rsidRPr="007C0072" w:rsidTr="00345C86">
        <w:trPr>
          <w:trHeight w:val="450"/>
        </w:trPr>
        <w:tc>
          <w:tcPr>
            <w:tcW w:w="10320" w:type="dxa"/>
            <w:gridSpan w:val="2"/>
            <w:vMerge/>
            <w:vAlign w:val="center"/>
            <w:hideMark/>
          </w:tcPr>
          <w:p w:rsidR="00345C86" w:rsidRPr="007C0072" w:rsidRDefault="00345C86" w:rsidP="00345C86">
            <w:pPr>
              <w:spacing w:after="0" w:line="240" w:lineRule="auto"/>
              <w:rPr>
                <w:rFonts w:ascii="Calibri" w:eastAsia="Times New Roman" w:hAnsi="Calibri" w:cs="Calibri"/>
                <w:color w:val="FFFFFF"/>
                <w:lang w:eastAsia="fr-FR"/>
              </w:rPr>
            </w:pPr>
          </w:p>
        </w:tc>
      </w:tr>
      <w:tr w:rsidR="00345C86" w:rsidRPr="007C0072" w:rsidTr="00345C86">
        <w:trPr>
          <w:trHeight w:val="290"/>
        </w:trPr>
        <w:tc>
          <w:tcPr>
            <w:tcW w:w="10320" w:type="dxa"/>
            <w:gridSpan w:val="2"/>
            <w:vMerge w:val="restart"/>
            <w:shd w:val="clear" w:color="auto" w:fill="auto"/>
            <w:noWrap/>
            <w:vAlign w:val="center"/>
            <w:hideMark/>
          </w:tcPr>
          <w:p w:rsidR="00345C86" w:rsidRPr="00345C86" w:rsidRDefault="00345C86" w:rsidP="00345C86">
            <w:pPr>
              <w:spacing w:after="0" w:line="240" w:lineRule="auto"/>
              <w:jc w:val="center"/>
              <w:rPr>
                <w:rFonts w:ascii="Arial" w:eastAsia="Times New Roman" w:hAnsi="Arial" w:cs="Arial"/>
                <w:b/>
                <w:bCs/>
                <w:lang w:eastAsia="fr-FR"/>
              </w:rPr>
            </w:pPr>
            <w:r w:rsidRPr="00345C86">
              <w:rPr>
                <w:rFonts w:ascii="Arial" w:eastAsia="Times New Roman" w:hAnsi="Arial" w:cs="Arial"/>
                <w:b/>
                <w:bCs/>
                <w:lang w:eastAsia="fr-FR"/>
              </w:rPr>
              <w:t>Lien avec la présidence française du Conseil de l'UE</w:t>
            </w:r>
          </w:p>
        </w:tc>
      </w:tr>
      <w:tr w:rsidR="00345C86" w:rsidRPr="007C0072" w:rsidTr="00345C86">
        <w:trPr>
          <w:trHeight w:val="450"/>
        </w:trPr>
        <w:tc>
          <w:tcPr>
            <w:tcW w:w="10320" w:type="dxa"/>
            <w:gridSpan w:val="2"/>
            <w:vMerge/>
            <w:shd w:val="clear" w:color="auto" w:fill="auto"/>
            <w:vAlign w:val="center"/>
            <w:hideMark/>
          </w:tcPr>
          <w:p w:rsidR="00345C86" w:rsidRPr="007C0072" w:rsidRDefault="00345C86" w:rsidP="00345C86">
            <w:pPr>
              <w:spacing w:after="0" w:line="240" w:lineRule="auto"/>
              <w:rPr>
                <w:rFonts w:ascii="Times New Roman" w:eastAsia="Times New Roman" w:hAnsi="Times New Roman" w:cs="Times New Roman"/>
                <w:b/>
                <w:bCs/>
                <w:color w:val="FFFFFF"/>
                <w:lang w:eastAsia="fr-FR"/>
              </w:rPr>
            </w:pPr>
          </w:p>
        </w:tc>
      </w:tr>
      <w:tr w:rsidR="00345C86" w:rsidRPr="007C0072" w:rsidTr="00345C86">
        <w:trPr>
          <w:trHeight w:val="290"/>
        </w:trPr>
        <w:tc>
          <w:tcPr>
            <w:tcW w:w="10320" w:type="dxa"/>
            <w:gridSpan w:val="2"/>
            <w:vMerge w:val="restart"/>
            <w:shd w:val="clear" w:color="auto" w:fill="auto"/>
            <w:noWrap/>
            <w:vAlign w:val="bottom"/>
            <w:hideMark/>
          </w:tcPr>
          <w:p w:rsidR="00345C86" w:rsidRDefault="00345C86" w:rsidP="00345C86">
            <w:pPr>
              <w:spacing w:after="0" w:line="240" w:lineRule="auto"/>
              <w:jc w:val="center"/>
              <w:rPr>
                <w:rFonts w:ascii="Calibri" w:eastAsia="Times New Roman" w:hAnsi="Calibri" w:cs="Calibri"/>
                <w:color w:val="000000"/>
                <w:lang w:eastAsia="fr-FR"/>
              </w:rPr>
            </w:pPr>
            <w:r w:rsidRPr="007C0072">
              <w:rPr>
                <w:rFonts w:ascii="Calibri" w:eastAsia="Times New Roman" w:hAnsi="Calibri" w:cs="Calibri"/>
                <w:color w:val="000000"/>
                <w:lang w:eastAsia="fr-FR"/>
              </w:rPr>
              <w:t> </w:t>
            </w:r>
          </w:p>
          <w:p w:rsidR="00345C86" w:rsidRDefault="00345C86" w:rsidP="00345C86">
            <w:pPr>
              <w:spacing w:after="0" w:line="240" w:lineRule="auto"/>
              <w:jc w:val="center"/>
              <w:rPr>
                <w:rFonts w:ascii="Calibri" w:eastAsia="Times New Roman" w:hAnsi="Calibri" w:cs="Calibri"/>
                <w:color w:val="000000"/>
                <w:lang w:eastAsia="fr-FR"/>
              </w:rPr>
            </w:pPr>
          </w:p>
          <w:p w:rsidR="00345C86" w:rsidRDefault="00345C86" w:rsidP="00345C86">
            <w:pPr>
              <w:spacing w:after="0" w:line="240" w:lineRule="auto"/>
              <w:jc w:val="center"/>
              <w:rPr>
                <w:rFonts w:ascii="Calibri" w:eastAsia="Times New Roman" w:hAnsi="Calibri" w:cs="Calibri"/>
                <w:color w:val="000000"/>
                <w:lang w:eastAsia="fr-FR"/>
              </w:rPr>
            </w:pPr>
          </w:p>
          <w:p w:rsidR="00345C86" w:rsidRDefault="00345C86" w:rsidP="00345C86">
            <w:pPr>
              <w:spacing w:after="0" w:line="240" w:lineRule="auto"/>
              <w:jc w:val="center"/>
              <w:rPr>
                <w:rFonts w:ascii="Calibri" w:eastAsia="Times New Roman" w:hAnsi="Calibri" w:cs="Calibri"/>
                <w:color w:val="000000"/>
                <w:lang w:eastAsia="fr-FR"/>
              </w:rPr>
            </w:pPr>
          </w:p>
          <w:p w:rsidR="00345C86" w:rsidRDefault="00345C86" w:rsidP="00345C86">
            <w:pPr>
              <w:spacing w:after="0" w:line="240" w:lineRule="auto"/>
              <w:jc w:val="center"/>
              <w:rPr>
                <w:rFonts w:ascii="Calibri" w:eastAsia="Times New Roman" w:hAnsi="Calibri" w:cs="Calibri"/>
                <w:color w:val="000000"/>
                <w:lang w:eastAsia="fr-FR"/>
              </w:rPr>
            </w:pPr>
          </w:p>
          <w:p w:rsidR="00345C86" w:rsidRPr="007C0072" w:rsidRDefault="00345C86" w:rsidP="00345C86">
            <w:pPr>
              <w:spacing w:after="0" w:line="240" w:lineRule="auto"/>
              <w:jc w:val="center"/>
              <w:rPr>
                <w:rFonts w:ascii="Calibri" w:eastAsia="Times New Roman" w:hAnsi="Calibri" w:cs="Calibri"/>
                <w:color w:val="000000"/>
                <w:lang w:eastAsia="fr-FR"/>
              </w:rPr>
            </w:pPr>
          </w:p>
        </w:tc>
      </w:tr>
      <w:tr w:rsidR="00345C86" w:rsidRPr="007C0072" w:rsidTr="00345C86">
        <w:trPr>
          <w:trHeight w:val="450"/>
        </w:trPr>
        <w:tc>
          <w:tcPr>
            <w:tcW w:w="10320" w:type="dxa"/>
            <w:gridSpan w:val="2"/>
            <w:vMerge/>
            <w:vAlign w:val="center"/>
            <w:hideMark/>
          </w:tcPr>
          <w:p w:rsidR="00345C86" w:rsidRPr="007C0072" w:rsidRDefault="00345C86" w:rsidP="00345C86">
            <w:pPr>
              <w:spacing w:after="0" w:line="240" w:lineRule="auto"/>
              <w:rPr>
                <w:rFonts w:ascii="Calibri" w:eastAsia="Times New Roman" w:hAnsi="Calibri" w:cs="Calibri"/>
                <w:color w:val="000000"/>
                <w:lang w:eastAsia="fr-FR"/>
              </w:rPr>
            </w:pPr>
          </w:p>
        </w:tc>
      </w:tr>
      <w:tr w:rsidR="00345C86" w:rsidRPr="007C0072" w:rsidTr="00345C86">
        <w:trPr>
          <w:trHeight w:val="450"/>
        </w:trPr>
        <w:tc>
          <w:tcPr>
            <w:tcW w:w="10320" w:type="dxa"/>
            <w:gridSpan w:val="2"/>
            <w:vMerge/>
            <w:vAlign w:val="center"/>
            <w:hideMark/>
          </w:tcPr>
          <w:p w:rsidR="00345C86" w:rsidRPr="007C0072" w:rsidRDefault="00345C86" w:rsidP="00345C86">
            <w:pPr>
              <w:spacing w:after="0" w:line="240" w:lineRule="auto"/>
              <w:rPr>
                <w:rFonts w:ascii="Times New Roman" w:eastAsia="Times New Roman" w:hAnsi="Times New Roman" w:cs="Times New Roman"/>
                <w:b/>
                <w:bCs/>
                <w:color w:val="000000"/>
                <w:lang w:eastAsia="fr-FR"/>
              </w:rPr>
            </w:pPr>
          </w:p>
        </w:tc>
      </w:tr>
      <w:tr w:rsidR="00345C86" w:rsidRPr="007C0072" w:rsidTr="00345C86">
        <w:trPr>
          <w:trHeight w:val="450"/>
        </w:trPr>
        <w:tc>
          <w:tcPr>
            <w:tcW w:w="10320" w:type="dxa"/>
            <w:gridSpan w:val="2"/>
            <w:vMerge/>
            <w:vAlign w:val="center"/>
            <w:hideMark/>
          </w:tcPr>
          <w:p w:rsidR="00345C86" w:rsidRPr="007C0072" w:rsidRDefault="00345C86" w:rsidP="00345C86">
            <w:pPr>
              <w:spacing w:after="0" w:line="240" w:lineRule="auto"/>
              <w:rPr>
                <w:rFonts w:ascii="Calibri" w:eastAsia="Times New Roman" w:hAnsi="Calibri" w:cs="Calibri"/>
                <w:color w:val="000000"/>
                <w:lang w:eastAsia="fr-FR"/>
              </w:rPr>
            </w:pPr>
          </w:p>
        </w:tc>
      </w:tr>
      <w:tr w:rsidR="00345C86" w:rsidRPr="007C0072" w:rsidTr="00345C86">
        <w:trPr>
          <w:trHeight w:val="450"/>
        </w:trPr>
        <w:tc>
          <w:tcPr>
            <w:tcW w:w="10320" w:type="dxa"/>
            <w:gridSpan w:val="2"/>
            <w:vMerge/>
            <w:vAlign w:val="center"/>
            <w:hideMark/>
          </w:tcPr>
          <w:p w:rsidR="00345C86" w:rsidRPr="007C0072" w:rsidRDefault="00345C86" w:rsidP="00345C86">
            <w:pPr>
              <w:spacing w:after="0" w:line="240" w:lineRule="auto"/>
              <w:rPr>
                <w:rFonts w:ascii="Calibri" w:eastAsia="Times New Roman" w:hAnsi="Calibri" w:cs="Calibri"/>
                <w:color w:val="000000"/>
                <w:lang w:eastAsia="fr-FR"/>
              </w:rPr>
            </w:pPr>
          </w:p>
        </w:tc>
      </w:tr>
    </w:tbl>
    <w:p w:rsidR="00ED58EB" w:rsidRDefault="00ED58EB" w:rsidP="00ED58EB">
      <w:pPr>
        <w:pStyle w:val="Default"/>
        <w:rPr>
          <w:i/>
          <w:iCs/>
          <w:sz w:val="23"/>
          <w:szCs w:val="23"/>
        </w:rPr>
      </w:pPr>
    </w:p>
    <w:p w:rsidR="00345C86" w:rsidRDefault="00345C86" w:rsidP="00345C86">
      <w:pPr>
        <w:tabs>
          <w:tab w:val="left" w:pos="1177"/>
        </w:tabs>
        <w:jc w:val="center"/>
        <w:rPr>
          <w:b/>
          <w:sz w:val="24"/>
        </w:rPr>
      </w:pPr>
      <w:r>
        <w:rPr>
          <w:b/>
          <w:sz w:val="24"/>
        </w:rPr>
        <w:t>Annexe 1</w:t>
      </w:r>
    </w:p>
    <w:p w:rsidR="00345C86" w:rsidRPr="00ED58EB" w:rsidRDefault="00345C86" w:rsidP="00C73D21">
      <w:pPr>
        <w:tabs>
          <w:tab w:val="left" w:pos="1177"/>
        </w:tabs>
        <w:rPr>
          <w:sz w:val="24"/>
        </w:rPr>
      </w:pPr>
      <w:r w:rsidRPr="00ED58EB">
        <w:rPr>
          <w:b/>
          <w:sz w:val="24"/>
        </w:rPr>
        <w:lastRenderedPageBreak/>
        <w:t>Charte de la Présidence française du Conseil de l’Union européenne</w:t>
      </w:r>
    </w:p>
    <w:p w:rsidR="00ED58EB" w:rsidRDefault="00ED58EB" w:rsidP="00ED58EB">
      <w:pPr>
        <w:pStyle w:val="Default"/>
        <w:jc w:val="both"/>
        <w:rPr>
          <w:sz w:val="23"/>
          <w:szCs w:val="23"/>
        </w:rPr>
      </w:pPr>
      <w:r>
        <w:rPr>
          <w:i/>
          <w:iCs/>
          <w:sz w:val="23"/>
          <w:szCs w:val="23"/>
        </w:rPr>
        <w:t xml:space="preserve">La France exercera la présidence du Conseil de l’Union européenne du 1er janvier au 30 juin 2022 et entend associer la société civile à l’organisation de manifestations concourant à la réussite de ce rendez-vous européen. Les événements organisés doivent s’inscrire dans un cadre respectueux des lois et règlements et des valeurs portées par le projet européen défendu par la France. </w:t>
      </w:r>
    </w:p>
    <w:p w:rsidR="00ED58EB" w:rsidRDefault="00ED58EB" w:rsidP="00ED58EB">
      <w:pPr>
        <w:pStyle w:val="Default"/>
        <w:jc w:val="both"/>
        <w:rPr>
          <w:b/>
          <w:bCs/>
          <w:i/>
          <w:iCs/>
          <w:color w:val="233E5F"/>
          <w:sz w:val="23"/>
          <w:szCs w:val="23"/>
        </w:rPr>
      </w:pPr>
    </w:p>
    <w:p w:rsidR="00ED58EB" w:rsidRDefault="00ED58EB" w:rsidP="00ED58EB">
      <w:pPr>
        <w:pStyle w:val="Default"/>
        <w:jc w:val="both"/>
        <w:rPr>
          <w:sz w:val="23"/>
          <w:szCs w:val="23"/>
        </w:rPr>
      </w:pPr>
      <w:proofErr w:type="gramStart"/>
      <w:r>
        <w:rPr>
          <w:b/>
          <w:bCs/>
          <w:i/>
          <w:iCs/>
          <w:color w:val="233E5F"/>
          <w:sz w:val="23"/>
          <w:szCs w:val="23"/>
        </w:rPr>
        <w:t>article</w:t>
      </w:r>
      <w:proofErr w:type="gramEnd"/>
      <w:r>
        <w:rPr>
          <w:b/>
          <w:bCs/>
          <w:i/>
          <w:iCs/>
          <w:color w:val="233E5F"/>
          <w:sz w:val="23"/>
          <w:szCs w:val="23"/>
        </w:rPr>
        <w:t xml:space="preserve"> 1</w:t>
      </w:r>
      <w:r>
        <w:rPr>
          <w:b/>
          <w:bCs/>
          <w:i/>
          <w:iCs/>
          <w:color w:val="233E5F"/>
          <w:sz w:val="16"/>
          <w:szCs w:val="16"/>
        </w:rPr>
        <w:t xml:space="preserve">er </w:t>
      </w:r>
      <w:r>
        <w:rPr>
          <w:b/>
          <w:bCs/>
          <w:i/>
          <w:iCs/>
          <w:color w:val="233E5F"/>
          <w:sz w:val="23"/>
          <w:szCs w:val="23"/>
        </w:rPr>
        <w:t xml:space="preserve">: Objet </w:t>
      </w:r>
    </w:p>
    <w:p w:rsidR="00ED58EB" w:rsidRDefault="00ED58EB" w:rsidP="00ED58EB">
      <w:pPr>
        <w:pStyle w:val="Default"/>
        <w:jc w:val="both"/>
        <w:rPr>
          <w:sz w:val="23"/>
          <w:szCs w:val="23"/>
        </w:rPr>
      </w:pPr>
      <w:r>
        <w:rPr>
          <w:i/>
          <w:iCs/>
          <w:sz w:val="23"/>
          <w:szCs w:val="23"/>
        </w:rPr>
        <w:t xml:space="preserve">La présente charte a pour objet de fixer les conditions et modalités de la labellisation « PFUE » des événements à organiser par des organismes publics ou privés pendant la présidence française du Conseil de l’Union européenne (PFUE). Cette labellisation est accordée par le SGPFUE sur proposition du ministère de … (ci-après « le ministère »). Elle s’applique aux responsables de l’entité porteuse de l’événement, signataire de cette charte (ci-après « l’organisme »), ainsi qu’à toute personne intervenant dans le cadre de cet événement. </w:t>
      </w:r>
    </w:p>
    <w:p w:rsidR="00ED58EB" w:rsidRDefault="00ED58EB" w:rsidP="00ED58EB">
      <w:pPr>
        <w:pStyle w:val="Default"/>
        <w:jc w:val="both"/>
        <w:rPr>
          <w:b/>
          <w:bCs/>
          <w:i/>
          <w:iCs/>
          <w:color w:val="233E5F"/>
          <w:sz w:val="23"/>
          <w:szCs w:val="23"/>
        </w:rPr>
      </w:pPr>
    </w:p>
    <w:p w:rsidR="00ED58EB" w:rsidRDefault="00ED58EB" w:rsidP="00ED58EB">
      <w:pPr>
        <w:pStyle w:val="Default"/>
        <w:jc w:val="both"/>
        <w:rPr>
          <w:sz w:val="23"/>
          <w:szCs w:val="23"/>
        </w:rPr>
      </w:pPr>
      <w:proofErr w:type="gramStart"/>
      <w:r>
        <w:rPr>
          <w:b/>
          <w:bCs/>
          <w:i/>
          <w:iCs/>
          <w:color w:val="233E5F"/>
          <w:sz w:val="23"/>
          <w:szCs w:val="23"/>
        </w:rPr>
        <w:t>article</w:t>
      </w:r>
      <w:proofErr w:type="gramEnd"/>
      <w:r>
        <w:rPr>
          <w:b/>
          <w:bCs/>
          <w:i/>
          <w:iCs/>
          <w:color w:val="233E5F"/>
          <w:sz w:val="23"/>
          <w:szCs w:val="23"/>
        </w:rPr>
        <w:t xml:space="preserve"> 2 : Sécurité </w:t>
      </w:r>
    </w:p>
    <w:p w:rsidR="00ED58EB" w:rsidRDefault="00ED58EB" w:rsidP="00ED58EB">
      <w:pPr>
        <w:pStyle w:val="Default"/>
        <w:jc w:val="both"/>
        <w:rPr>
          <w:sz w:val="23"/>
          <w:szCs w:val="23"/>
        </w:rPr>
      </w:pPr>
      <w:r>
        <w:rPr>
          <w:i/>
          <w:iCs/>
          <w:sz w:val="23"/>
          <w:szCs w:val="23"/>
        </w:rPr>
        <w:t xml:space="preserve">L’organisme s’engage à mettre en place les dispositifs nécessaires pour assurer la sécurité de l’événement et éviter tout trouble à l’ordre public. </w:t>
      </w:r>
    </w:p>
    <w:p w:rsidR="00ED58EB" w:rsidRDefault="00ED58EB" w:rsidP="00ED58EB">
      <w:pPr>
        <w:pStyle w:val="Default"/>
        <w:jc w:val="both"/>
        <w:rPr>
          <w:sz w:val="23"/>
          <w:szCs w:val="23"/>
        </w:rPr>
      </w:pPr>
      <w:r>
        <w:rPr>
          <w:i/>
          <w:iCs/>
          <w:sz w:val="23"/>
          <w:szCs w:val="23"/>
        </w:rPr>
        <w:t xml:space="preserve">Il prêtera une attention particulière au cadre applicable en matière de sécurité sanitaire et mettra en place toutes les conditions requises pour le respect des mesures préventives sanitaires édictées par les autorités nationales ou locales. </w:t>
      </w:r>
    </w:p>
    <w:p w:rsidR="00ED58EB" w:rsidRDefault="00ED58EB" w:rsidP="00ED58EB">
      <w:pPr>
        <w:pStyle w:val="Default"/>
        <w:jc w:val="both"/>
        <w:rPr>
          <w:b/>
          <w:bCs/>
          <w:i/>
          <w:iCs/>
          <w:color w:val="233E5F"/>
          <w:sz w:val="23"/>
          <w:szCs w:val="23"/>
        </w:rPr>
      </w:pPr>
    </w:p>
    <w:p w:rsidR="00ED58EB" w:rsidRDefault="00ED58EB" w:rsidP="00ED58EB">
      <w:pPr>
        <w:pStyle w:val="Default"/>
        <w:jc w:val="both"/>
        <w:rPr>
          <w:sz w:val="23"/>
          <w:szCs w:val="23"/>
        </w:rPr>
      </w:pPr>
      <w:proofErr w:type="gramStart"/>
      <w:r>
        <w:rPr>
          <w:b/>
          <w:bCs/>
          <w:i/>
          <w:iCs/>
          <w:color w:val="233E5F"/>
          <w:sz w:val="23"/>
          <w:szCs w:val="23"/>
        </w:rPr>
        <w:t>article</w:t>
      </w:r>
      <w:proofErr w:type="gramEnd"/>
      <w:r>
        <w:rPr>
          <w:b/>
          <w:bCs/>
          <w:i/>
          <w:iCs/>
          <w:color w:val="233E5F"/>
          <w:sz w:val="23"/>
          <w:szCs w:val="23"/>
        </w:rPr>
        <w:t xml:space="preserve"> 3 : Neutralité politique </w:t>
      </w:r>
    </w:p>
    <w:p w:rsidR="00ED58EB" w:rsidRDefault="00ED58EB" w:rsidP="00ED58EB">
      <w:pPr>
        <w:pStyle w:val="Default"/>
        <w:jc w:val="both"/>
        <w:rPr>
          <w:sz w:val="23"/>
          <w:szCs w:val="23"/>
        </w:rPr>
      </w:pPr>
      <w:r>
        <w:rPr>
          <w:i/>
          <w:iCs/>
          <w:sz w:val="23"/>
          <w:szCs w:val="23"/>
        </w:rPr>
        <w:t xml:space="preserve">Le contenu programmatique et la forme de l’événement doivent garantir une neutralité politique et une cohérence avec les valeurs portées par la PFUE ainsi que l’indépendance de l’organisme à l’égard de tout État tiers à l’Union européenne. </w:t>
      </w:r>
    </w:p>
    <w:p w:rsidR="00ED58EB" w:rsidRDefault="00ED58EB" w:rsidP="00ED58EB">
      <w:pPr>
        <w:pStyle w:val="Default"/>
        <w:jc w:val="both"/>
        <w:rPr>
          <w:b/>
          <w:bCs/>
          <w:i/>
          <w:iCs/>
          <w:color w:val="233E5F"/>
          <w:sz w:val="23"/>
          <w:szCs w:val="23"/>
        </w:rPr>
      </w:pPr>
    </w:p>
    <w:p w:rsidR="00ED58EB" w:rsidRDefault="00ED58EB" w:rsidP="00ED58EB">
      <w:pPr>
        <w:pStyle w:val="Default"/>
        <w:jc w:val="both"/>
        <w:rPr>
          <w:sz w:val="23"/>
          <w:szCs w:val="23"/>
        </w:rPr>
      </w:pPr>
      <w:proofErr w:type="gramStart"/>
      <w:r>
        <w:rPr>
          <w:b/>
          <w:bCs/>
          <w:i/>
          <w:iCs/>
          <w:color w:val="233E5F"/>
          <w:sz w:val="23"/>
          <w:szCs w:val="23"/>
        </w:rPr>
        <w:t>article</w:t>
      </w:r>
      <w:proofErr w:type="gramEnd"/>
      <w:r>
        <w:rPr>
          <w:b/>
          <w:bCs/>
          <w:i/>
          <w:iCs/>
          <w:color w:val="233E5F"/>
          <w:sz w:val="23"/>
          <w:szCs w:val="23"/>
        </w:rPr>
        <w:t xml:space="preserve"> 4 : Non-discrimination </w:t>
      </w:r>
    </w:p>
    <w:p w:rsidR="00ED58EB" w:rsidRDefault="00ED58EB" w:rsidP="00ED58EB">
      <w:pPr>
        <w:pStyle w:val="Default"/>
        <w:jc w:val="both"/>
        <w:rPr>
          <w:sz w:val="23"/>
          <w:szCs w:val="23"/>
        </w:rPr>
      </w:pPr>
      <w:r>
        <w:rPr>
          <w:i/>
          <w:iCs/>
          <w:sz w:val="23"/>
          <w:szCs w:val="23"/>
        </w:rPr>
        <w:t xml:space="preserve">La participation aux évènements organisés par l’organisme est fondée uniquement sur des critères liés aux thèmes de ceux-ci et non sur des considérations extérieures telles que le sexe, la religion, l’apparence physique, la nationalité ou l’orientation sexuelle. </w:t>
      </w:r>
    </w:p>
    <w:p w:rsidR="00ED58EB" w:rsidRDefault="00ED58EB" w:rsidP="00ED58EB">
      <w:pPr>
        <w:pStyle w:val="Default"/>
        <w:jc w:val="both"/>
        <w:rPr>
          <w:b/>
          <w:bCs/>
          <w:i/>
          <w:iCs/>
          <w:color w:val="233E5F"/>
          <w:sz w:val="23"/>
          <w:szCs w:val="23"/>
        </w:rPr>
      </w:pPr>
    </w:p>
    <w:p w:rsidR="00ED58EB" w:rsidRDefault="00ED58EB" w:rsidP="00ED58EB">
      <w:pPr>
        <w:pStyle w:val="Default"/>
        <w:jc w:val="both"/>
        <w:rPr>
          <w:sz w:val="23"/>
          <w:szCs w:val="23"/>
        </w:rPr>
      </w:pPr>
      <w:proofErr w:type="gramStart"/>
      <w:r>
        <w:rPr>
          <w:b/>
          <w:bCs/>
          <w:i/>
          <w:iCs/>
          <w:color w:val="233E5F"/>
          <w:sz w:val="23"/>
          <w:szCs w:val="23"/>
        </w:rPr>
        <w:t>article</w:t>
      </w:r>
      <w:proofErr w:type="gramEnd"/>
      <w:r>
        <w:rPr>
          <w:b/>
          <w:bCs/>
          <w:i/>
          <w:iCs/>
          <w:color w:val="233E5F"/>
          <w:sz w:val="23"/>
          <w:szCs w:val="23"/>
        </w:rPr>
        <w:t xml:space="preserve"> 5 : Conflits d’intérêts </w:t>
      </w:r>
    </w:p>
    <w:p w:rsidR="00ED58EB" w:rsidRDefault="00ED58EB" w:rsidP="00ED58EB">
      <w:pPr>
        <w:pStyle w:val="Default"/>
        <w:jc w:val="both"/>
        <w:rPr>
          <w:sz w:val="23"/>
          <w:szCs w:val="23"/>
        </w:rPr>
      </w:pPr>
      <w:r>
        <w:rPr>
          <w:i/>
          <w:iCs/>
          <w:sz w:val="23"/>
          <w:szCs w:val="23"/>
        </w:rPr>
        <w:t xml:space="preserve">L’organisme s’abstient de tout conflit entre les modalités d’organisation de l’événement et ses intérêts privés ou les intérêts privés de ses membres ou des intervenants. Il s’engage à prévenir, identifier et à résoudre les conflits d’intérêts réels ou potentiels. </w:t>
      </w:r>
    </w:p>
    <w:p w:rsidR="00ED58EB" w:rsidRDefault="00ED58EB" w:rsidP="00ED58EB">
      <w:pPr>
        <w:pStyle w:val="Default"/>
        <w:jc w:val="both"/>
        <w:rPr>
          <w:b/>
          <w:bCs/>
          <w:i/>
          <w:iCs/>
          <w:sz w:val="23"/>
          <w:szCs w:val="23"/>
        </w:rPr>
      </w:pPr>
    </w:p>
    <w:p w:rsidR="00ED58EB" w:rsidRPr="00ED58EB" w:rsidRDefault="00ED58EB" w:rsidP="00ED58EB">
      <w:pPr>
        <w:pStyle w:val="Default"/>
        <w:jc w:val="both"/>
        <w:rPr>
          <w:b/>
          <w:bCs/>
          <w:i/>
          <w:iCs/>
          <w:color w:val="233E5F"/>
          <w:sz w:val="23"/>
          <w:szCs w:val="23"/>
        </w:rPr>
      </w:pPr>
      <w:proofErr w:type="gramStart"/>
      <w:r w:rsidRPr="00ED58EB">
        <w:rPr>
          <w:b/>
          <w:bCs/>
          <w:i/>
          <w:iCs/>
          <w:color w:val="233E5F"/>
          <w:sz w:val="23"/>
          <w:szCs w:val="23"/>
        </w:rPr>
        <w:t>article</w:t>
      </w:r>
      <w:proofErr w:type="gramEnd"/>
      <w:r w:rsidRPr="00ED58EB">
        <w:rPr>
          <w:b/>
          <w:bCs/>
          <w:i/>
          <w:iCs/>
          <w:color w:val="233E5F"/>
          <w:sz w:val="23"/>
          <w:szCs w:val="23"/>
        </w:rPr>
        <w:t xml:space="preserve"> 6 - Développement durable </w:t>
      </w:r>
    </w:p>
    <w:p w:rsidR="00ED58EB" w:rsidRDefault="00ED58EB" w:rsidP="00ED58EB">
      <w:pPr>
        <w:pStyle w:val="Default"/>
        <w:jc w:val="both"/>
        <w:rPr>
          <w:sz w:val="23"/>
          <w:szCs w:val="23"/>
        </w:rPr>
      </w:pPr>
      <w:r>
        <w:rPr>
          <w:i/>
          <w:iCs/>
          <w:sz w:val="23"/>
          <w:szCs w:val="23"/>
        </w:rPr>
        <w:t xml:space="preserve">La présidence française du Conseil de l’Union européenne vise un haut niveau d’exigence en matière de développement durable et notamment la neutralité pour le climat des actions organisées. </w:t>
      </w:r>
    </w:p>
    <w:p w:rsidR="00ED58EB" w:rsidRDefault="00ED58EB" w:rsidP="00ED58EB">
      <w:pPr>
        <w:pStyle w:val="Default"/>
        <w:jc w:val="both"/>
        <w:rPr>
          <w:sz w:val="23"/>
          <w:szCs w:val="23"/>
        </w:rPr>
      </w:pPr>
      <w:r>
        <w:rPr>
          <w:i/>
          <w:iCs/>
          <w:sz w:val="23"/>
          <w:szCs w:val="23"/>
        </w:rPr>
        <w:t xml:space="preserve">L’organisme devra : </w:t>
      </w:r>
    </w:p>
    <w:p w:rsidR="00ED58EB" w:rsidRDefault="00ED58EB" w:rsidP="00ED58EB">
      <w:pPr>
        <w:pStyle w:val="Default"/>
        <w:jc w:val="both"/>
        <w:rPr>
          <w:sz w:val="23"/>
          <w:szCs w:val="23"/>
        </w:rPr>
      </w:pPr>
      <w:r>
        <w:rPr>
          <w:i/>
          <w:iCs/>
          <w:sz w:val="23"/>
          <w:szCs w:val="23"/>
        </w:rPr>
        <w:t xml:space="preserve">1° Présenter les attestations de labels et certifications éventuelles en matière de développement durable qu’il détient ou toute autre démarche formalisée démontrant son engagement en matière d’environnement ; </w:t>
      </w:r>
    </w:p>
    <w:p w:rsidR="00ED58EB" w:rsidRDefault="00ED58EB" w:rsidP="00ED58EB">
      <w:pPr>
        <w:pStyle w:val="Default"/>
        <w:jc w:val="both"/>
        <w:rPr>
          <w:sz w:val="23"/>
          <w:szCs w:val="23"/>
        </w:rPr>
      </w:pPr>
      <w:r>
        <w:rPr>
          <w:i/>
          <w:iCs/>
          <w:sz w:val="23"/>
          <w:szCs w:val="23"/>
        </w:rPr>
        <w:t xml:space="preserve">2° Évaluer le bilan des émissions de gaz à effet de serre de lié à son événement et, le cas </w:t>
      </w:r>
    </w:p>
    <w:p w:rsidR="00ED58EB" w:rsidRDefault="00ED58EB" w:rsidP="00ED58EB">
      <w:pPr>
        <w:pStyle w:val="Default"/>
        <w:pageBreakBefore/>
        <w:jc w:val="both"/>
        <w:rPr>
          <w:sz w:val="23"/>
          <w:szCs w:val="23"/>
        </w:rPr>
      </w:pPr>
      <w:proofErr w:type="gramStart"/>
      <w:r>
        <w:rPr>
          <w:i/>
          <w:iCs/>
          <w:sz w:val="23"/>
          <w:szCs w:val="23"/>
        </w:rPr>
        <w:lastRenderedPageBreak/>
        <w:t>échéant</w:t>
      </w:r>
      <w:proofErr w:type="gramEnd"/>
      <w:r>
        <w:rPr>
          <w:i/>
          <w:iCs/>
          <w:sz w:val="23"/>
          <w:szCs w:val="23"/>
        </w:rPr>
        <w:t xml:space="preserve">, envisager des actions permettant de réduire ou de compenser cet impact. </w:t>
      </w:r>
    </w:p>
    <w:p w:rsidR="00ED58EB" w:rsidRDefault="00ED58EB" w:rsidP="00ED58EB">
      <w:pPr>
        <w:pStyle w:val="Default"/>
        <w:jc w:val="both"/>
        <w:rPr>
          <w:b/>
          <w:bCs/>
          <w:i/>
          <w:iCs/>
          <w:sz w:val="23"/>
          <w:szCs w:val="23"/>
        </w:rPr>
      </w:pPr>
    </w:p>
    <w:p w:rsidR="00ED58EB" w:rsidRDefault="00ED58EB" w:rsidP="00ED58EB">
      <w:pPr>
        <w:pStyle w:val="Default"/>
        <w:jc w:val="both"/>
        <w:rPr>
          <w:sz w:val="23"/>
          <w:szCs w:val="23"/>
        </w:rPr>
      </w:pPr>
      <w:proofErr w:type="gramStart"/>
      <w:r w:rsidRPr="00ED58EB">
        <w:rPr>
          <w:b/>
          <w:bCs/>
          <w:i/>
          <w:iCs/>
          <w:color w:val="233E5F"/>
          <w:sz w:val="23"/>
          <w:szCs w:val="23"/>
        </w:rPr>
        <w:t>article</w:t>
      </w:r>
      <w:proofErr w:type="gramEnd"/>
      <w:r w:rsidRPr="00ED58EB">
        <w:rPr>
          <w:b/>
          <w:bCs/>
          <w:i/>
          <w:iCs/>
          <w:color w:val="233E5F"/>
          <w:sz w:val="23"/>
          <w:szCs w:val="23"/>
        </w:rPr>
        <w:t xml:space="preserve"> 7 : Régime linguistique </w:t>
      </w:r>
    </w:p>
    <w:p w:rsidR="00ED58EB" w:rsidRDefault="00ED58EB" w:rsidP="00ED58EB">
      <w:pPr>
        <w:pStyle w:val="Default"/>
        <w:jc w:val="both"/>
        <w:rPr>
          <w:sz w:val="23"/>
          <w:szCs w:val="23"/>
        </w:rPr>
      </w:pPr>
      <w:r>
        <w:rPr>
          <w:i/>
          <w:iCs/>
          <w:sz w:val="23"/>
          <w:szCs w:val="23"/>
        </w:rPr>
        <w:t xml:space="preserve">L’utilisation du français est obligatoire, soit comme langue principale de l’événement soit comme une des langues actives de l’événement. </w:t>
      </w:r>
    </w:p>
    <w:p w:rsidR="00ED58EB" w:rsidRDefault="00ED58EB" w:rsidP="00ED58EB">
      <w:pPr>
        <w:pStyle w:val="Default"/>
        <w:jc w:val="both"/>
        <w:rPr>
          <w:b/>
          <w:bCs/>
          <w:i/>
          <w:iCs/>
          <w:sz w:val="23"/>
          <w:szCs w:val="23"/>
        </w:rPr>
      </w:pPr>
    </w:p>
    <w:p w:rsidR="00ED58EB" w:rsidRPr="00ED58EB" w:rsidRDefault="00ED58EB" w:rsidP="00ED58EB">
      <w:pPr>
        <w:pStyle w:val="Default"/>
        <w:jc w:val="both"/>
        <w:rPr>
          <w:b/>
          <w:bCs/>
          <w:i/>
          <w:iCs/>
          <w:color w:val="233E5F"/>
          <w:sz w:val="23"/>
          <w:szCs w:val="23"/>
        </w:rPr>
      </w:pPr>
      <w:proofErr w:type="gramStart"/>
      <w:r w:rsidRPr="00ED58EB">
        <w:rPr>
          <w:b/>
          <w:bCs/>
          <w:i/>
          <w:iCs/>
          <w:color w:val="233E5F"/>
          <w:sz w:val="23"/>
          <w:szCs w:val="23"/>
        </w:rPr>
        <w:t>article</w:t>
      </w:r>
      <w:proofErr w:type="gramEnd"/>
      <w:r w:rsidRPr="00ED58EB">
        <w:rPr>
          <w:b/>
          <w:bCs/>
          <w:i/>
          <w:iCs/>
          <w:color w:val="233E5F"/>
          <w:sz w:val="23"/>
          <w:szCs w:val="23"/>
        </w:rPr>
        <w:t xml:space="preserve"> 8 - Communication </w:t>
      </w:r>
    </w:p>
    <w:p w:rsidR="00ED58EB" w:rsidRDefault="00ED58EB" w:rsidP="00ED58EB">
      <w:pPr>
        <w:pStyle w:val="Default"/>
        <w:jc w:val="both"/>
        <w:rPr>
          <w:sz w:val="23"/>
          <w:szCs w:val="23"/>
        </w:rPr>
      </w:pPr>
      <w:r>
        <w:rPr>
          <w:i/>
          <w:iCs/>
          <w:sz w:val="23"/>
          <w:szCs w:val="23"/>
        </w:rPr>
        <w:t xml:space="preserve">L’organisme est autorisé à utiliser l’emblème de la « PFUE » aux seules fins de la communication relative à l’événement. Il doit s’abstenir de toute utilisation de l’emblème ou de l’image de la PFUE pouvant nuire à la réputation de la PFUE. </w:t>
      </w:r>
    </w:p>
    <w:p w:rsidR="00ED58EB" w:rsidRDefault="00ED58EB" w:rsidP="00ED58EB">
      <w:pPr>
        <w:pStyle w:val="Default"/>
        <w:jc w:val="both"/>
        <w:rPr>
          <w:b/>
          <w:bCs/>
          <w:i/>
          <w:iCs/>
          <w:sz w:val="23"/>
          <w:szCs w:val="23"/>
        </w:rPr>
      </w:pPr>
    </w:p>
    <w:p w:rsidR="00ED58EB" w:rsidRPr="00ED58EB" w:rsidRDefault="00ED58EB" w:rsidP="00ED58EB">
      <w:pPr>
        <w:pStyle w:val="Default"/>
        <w:jc w:val="both"/>
        <w:rPr>
          <w:b/>
          <w:bCs/>
          <w:i/>
          <w:iCs/>
          <w:color w:val="233E5F"/>
          <w:sz w:val="23"/>
          <w:szCs w:val="23"/>
        </w:rPr>
      </w:pPr>
      <w:proofErr w:type="gramStart"/>
      <w:r w:rsidRPr="00ED58EB">
        <w:rPr>
          <w:b/>
          <w:bCs/>
          <w:i/>
          <w:iCs/>
          <w:color w:val="233E5F"/>
          <w:sz w:val="23"/>
          <w:szCs w:val="23"/>
        </w:rPr>
        <w:t>article</w:t>
      </w:r>
      <w:proofErr w:type="gramEnd"/>
      <w:r w:rsidRPr="00ED58EB">
        <w:rPr>
          <w:b/>
          <w:bCs/>
          <w:i/>
          <w:iCs/>
          <w:color w:val="233E5F"/>
          <w:sz w:val="23"/>
          <w:szCs w:val="23"/>
        </w:rPr>
        <w:t xml:space="preserve"> 9 : Protection des données </w:t>
      </w:r>
    </w:p>
    <w:p w:rsidR="00ED58EB" w:rsidRDefault="00ED58EB" w:rsidP="00ED58EB">
      <w:pPr>
        <w:pStyle w:val="Default"/>
        <w:jc w:val="both"/>
        <w:rPr>
          <w:sz w:val="23"/>
          <w:szCs w:val="23"/>
        </w:rPr>
      </w:pPr>
      <w:r>
        <w:rPr>
          <w:i/>
          <w:iCs/>
          <w:sz w:val="23"/>
          <w:szCs w:val="23"/>
        </w:rPr>
        <w:t xml:space="preserve">L’organisme applique scrupuleusement, dans le cadre de l’événement, le règlement général sur la protection des données (Règlement (UE) 2016/679 du Parlement européen et du Conseil du 27 avril 2016, relatif à la protection des personnes physiques à l'égard du traitement des données à caractère personnel et à la libre circulation de ces données). </w:t>
      </w:r>
    </w:p>
    <w:p w:rsidR="00ED58EB" w:rsidRDefault="00ED58EB" w:rsidP="00ED58EB">
      <w:pPr>
        <w:pStyle w:val="Default"/>
        <w:jc w:val="both"/>
        <w:rPr>
          <w:b/>
          <w:bCs/>
          <w:i/>
          <w:iCs/>
          <w:color w:val="233E5F"/>
          <w:sz w:val="23"/>
          <w:szCs w:val="23"/>
        </w:rPr>
      </w:pPr>
    </w:p>
    <w:p w:rsidR="00ED58EB" w:rsidRDefault="00ED58EB" w:rsidP="00ED58EB">
      <w:pPr>
        <w:pStyle w:val="Default"/>
        <w:jc w:val="both"/>
        <w:rPr>
          <w:sz w:val="23"/>
          <w:szCs w:val="23"/>
        </w:rPr>
      </w:pPr>
      <w:proofErr w:type="gramStart"/>
      <w:r>
        <w:rPr>
          <w:b/>
          <w:bCs/>
          <w:i/>
          <w:iCs/>
          <w:color w:val="233E5F"/>
          <w:sz w:val="23"/>
          <w:szCs w:val="23"/>
        </w:rPr>
        <w:t>article</w:t>
      </w:r>
      <w:proofErr w:type="gramEnd"/>
      <w:r>
        <w:rPr>
          <w:b/>
          <w:bCs/>
          <w:i/>
          <w:iCs/>
          <w:color w:val="233E5F"/>
          <w:sz w:val="23"/>
          <w:szCs w:val="23"/>
        </w:rPr>
        <w:t xml:space="preserve"> 10 : Durée </w:t>
      </w:r>
    </w:p>
    <w:p w:rsidR="00ED58EB" w:rsidRDefault="00ED58EB" w:rsidP="00ED58EB">
      <w:pPr>
        <w:pStyle w:val="Default"/>
        <w:jc w:val="both"/>
        <w:rPr>
          <w:sz w:val="23"/>
          <w:szCs w:val="23"/>
        </w:rPr>
      </w:pPr>
      <w:r>
        <w:rPr>
          <w:i/>
          <w:iCs/>
          <w:sz w:val="23"/>
          <w:szCs w:val="23"/>
        </w:rPr>
        <w:t xml:space="preserve">La charte prend effet à compter de sa date de signature par les parties concernées et demeure en vigueur jusqu’à l’extinction de l’ensemble des obligations de l’organisme et au plus tard le 30 juin 2022. La labellisation « PFUE » peut être résiliée de plein droit par le SGPFUE en cas de manquement grave aux principes édictés dans la Charte. </w:t>
      </w:r>
    </w:p>
    <w:p w:rsidR="00ED58EB" w:rsidRDefault="00ED58EB" w:rsidP="00ED58EB">
      <w:pPr>
        <w:pStyle w:val="Default"/>
        <w:jc w:val="both"/>
        <w:rPr>
          <w:b/>
          <w:bCs/>
          <w:i/>
          <w:iCs/>
          <w:color w:val="233E5F"/>
          <w:sz w:val="23"/>
          <w:szCs w:val="23"/>
        </w:rPr>
      </w:pPr>
    </w:p>
    <w:p w:rsidR="00ED58EB" w:rsidRDefault="00ED58EB" w:rsidP="00ED58EB">
      <w:pPr>
        <w:pStyle w:val="Default"/>
        <w:jc w:val="both"/>
        <w:rPr>
          <w:sz w:val="23"/>
          <w:szCs w:val="23"/>
        </w:rPr>
      </w:pPr>
      <w:proofErr w:type="gramStart"/>
      <w:r>
        <w:rPr>
          <w:b/>
          <w:bCs/>
          <w:i/>
          <w:iCs/>
          <w:color w:val="233E5F"/>
          <w:sz w:val="23"/>
          <w:szCs w:val="23"/>
        </w:rPr>
        <w:t>article</w:t>
      </w:r>
      <w:proofErr w:type="gramEnd"/>
      <w:r>
        <w:rPr>
          <w:b/>
          <w:bCs/>
          <w:i/>
          <w:iCs/>
          <w:color w:val="233E5F"/>
          <w:sz w:val="23"/>
          <w:szCs w:val="23"/>
        </w:rPr>
        <w:t xml:space="preserve"> 11 : Compte-rendu </w:t>
      </w:r>
    </w:p>
    <w:p w:rsidR="00ED58EB" w:rsidRDefault="00ED58EB" w:rsidP="00ED58EB">
      <w:pPr>
        <w:pStyle w:val="Default"/>
        <w:jc w:val="both"/>
        <w:rPr>
          <w:sz w:val="23"/>
          <w:szCs w:val="23"/>
        </w:rPr>
      </w:pPr>
      <w:r>
        <w:rPr>
          <w:i/>
          <w:iCs/>
          <w:sz w:val="23"/>
          <w:szCs w:val="23"/>
        </w:rPr>
        <w:t xml:space="preserve">Dans les deux semaines suivant l’organisation de l’évènement labellisé « PFUE », l’organisme adresse au ministère qui a proposé sa labellisation un compte-rendu précisant le nombre de participants, les thématiques traitées, les résultats de l’événement et décrivant brièvement les actions entreprises pour assurer le respect des principes édictés dans la présente charte. </w:t>
      </w:r>
    </w:p>
    <w:p w:rsidR="00ED58EB" w:rsidRDefault="00ED58EB" w:rsidP="00ED58EB">
      <w:pPr>
        <w:tabs>
          <w:tab w:val="left" w:pos="1177"/>
        </w:tabs>
        <w:rPr>
          <w:sz w:val="23"/>
          <w:szCs w:val="23"/>
        </w:rPr>
      </w:pPr>
    </w:p>
    <w:p w:rsidR="00ED58EB" w:rsidRPr="00ED58EB" w:rsidRDefault="00ED58EB" w:rsidP="00ED58EB">
      <w:pPr>
        <w:tabs>
          <w:tab w:val="left" w:pos="1177"/>
        </w:tabs>
        <w:jc w:val="center"/>
      </w:pPr>
      <w:r>
        <w:rPr>
          <w:sz w:val="23"/>
          <w:szCs w:val="23"/>
        </w:rPr>
        <w:t>***</w:t>
      </w:r>
    </w:p>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ED58EB" w:rsidRPr="00ED58EB" w:rsidRDefault="00ED58EB" w:rsidP="00ED58EB"/>
    <w:p w:rsidR="00436C32" w:rsidRDefault="00436C32" w:rsidP="00ED58EB">
      <w:bookmarkStart w:id="0" w:name="_GoBack"/>
      <w:bookmarkEnd w:id="0"/>
    </w:p>
    <w:p w:rsidR="00345C86" w:rsidRPr="00ED58EB" w:rsidRDefault="00345C86" w:rsidP="00345C86"/>
    <w:sectPr w:rsidR="00345C86" w:rsidRPr="00ED58EB" w:rsidSect="00ED58E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86" w:rsidRDefault="00345C86" w:rsidP="00ED58EB">
      <w:pPr>
        <w:spacing w:after="0" w:line="240" w:lineRule="auto"/>
      </w:pPr>
      <w:r>
        <w:separator/>
      </w:r>
    </w:p>
  </w:endnote>
  <w:endnote w:type="continuationSeparator" w:id="0">
    <w:p w:rsidR="00345C86" w:rsidRDefault="00345C86" w:rsidP="00ED5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86" w:rsidRDefault="00345C86" w:rsidP="00ED58EB">
      <w:pPr>
        <w:spacing w:after="0" w:line="240" w:lineRule="auto"/>
      </w:pPr>
      <w:r>
        <w:separator/>
      </w:r>
    </w:p>
  </w:footnote>
  <w:footnote w:type="continuationSeparator" w:id="0">
    <w:p w:rsidR="00345C86" w:rsidRDefault="00345C86" w:rsidP="00ED5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86" w:rsidRDefault="00345C86" w:rsidP="00345C86">
    <w:pPr>
      <w:pStyle w:val="En-tte"/>
      <w:tabs>
        <w:tab w:val="clear" w:pos="4536"/>
      </w:tabs>
      <w:rPr>
        <w:b/>
        <w:bCs/>
        <w:sz w:val="24"/>
        <w:szCs w:val="24"/>
      </w:rPr>
    </w:pPr>
    <w:r>
      <w:rPr>
        <w:b/>
        <w:bCs/>
        <w:sz w:val="24"/>
        <w:szCs w:val="24"/>
      </w:rPr>
      <w:tab/>
    </w:r>
  </w:p>
  <w:p w:rsidR="00345C86" w:rsidRDefault="00345C86" w:rsidP="00ED58EB">
    <w:pPr>
      <w:pStyle w:val="En-tte"/>
      <w:tabs>
        <w:tab w:val="clear" w:pos="4536"/>
      </w:tabs>
      <w:jc w:val="right"/>
      <w:rPr>
        <w:b/>
        <w:bCs/>
        <w:sz w:val="24"/>
        <w:szCs w:val="24"/>
      </w:rPr>
    </w:pPr>
  </w:p>
  <w:p w:rsidR="00345C86" w:rsidRDefault="00345C86">
    <w:pPr>
      <w:pStyle w:val="En-tte"/>
    </w:pPr>
  </w:p>
  <w:p w:rsidR="00345C86" w:rsidRDefault="00345C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86" w:rsidRDefault="00345C86" w:rsidP="00ED58EB">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simplePos x="0" y="0"/>
          <wp:positionH relativeFrom="column">
            <wp:posOffset>-144780</wp:posOffset>
          </wp:positionH>
          <wp:positionV relativeFrom="paragraph">
            <wp:posOffset>200660</wp:posOffset>
          </wp:positionV>
          <wp:extent cx="1637665" cy="162814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7665" cy="1628140"/>
                  </a:xfrm>
                  <a:prstGeom prst="rect">
                    <a:avLst/>
                  </a:prstGeom>
                </pic:spPr>
              </pic:pic>
            </a:graphicData>
          </a:graphic>
        </wp:anchor>
      </w:drawing>
    </w:r>
    <w:r>
      <w:rPr>
        <w:b/>
        <w:bCs/>
        <w:sz w:val="24"/>
        <w:szCs w:val="24"/>
      </w:rPr>
      <w:tab/>
    </w:r>
  </w:p>
  <w:p w:rsidR="00345C86" w:rsidRDefault="00345C86" w:rsidP="00ED58EB">
    <w:pPr>
      <w:pStyle w:val="En-tte"/>
      <w:tabs>
        <w:tab w:val="clear" w:pos="4536"/>
      </w:tabs>
      <w:jc w:val="right"/>
      <w:rPr>
        <w:b/>
        <w:bCs/>
        <w:sz w:val="24"/>
        <w:szCs w:val="24"/>
      </w:rPr>
    </w:pPr>
  </w:p>
  <w:p w:rsidR="00345C86" w:rsidRPr="005A755E" w:rsidRDefault="00345C86" w:rsidP="00ED58EB">
    <w:pPr>
      <w:pStyle w:val="En-tte"/>
      <w:jc w:val="right"/>
      <w:rPr>
        <w:b/>
        <w:bCs/>
        <w:sz w:val="24"/>
        <w:szCs w:val="24"/>
      </w:rPr>
    </w:pPr>
    <w:r>
      <w:rPr>
        <w:b/>
        <w:bCs/>
        <w:sz w:val="24"/>
        <w:szCs w:val="24"/>
      </w:rPr>
      <w:t>Délégation aux relations européennes</w:t>
    </w:r>
  </w:p>
  <w:p w:rsidR="00345C86" w:rsidRDefault="00345C86" w:rsidP="00ED58EB">
    <w:pPr>
      <w:pStyle w:val="En-tte"/>
      <w:jc w:val="right"/>
      <w:rPr>
        <w:b/>
        <w:bCs/>
        <w:sz w:val="24"/>
        <w:szCs w:val="24"/>
      </w:rPr>
    </w:pPr>
    <w:proofErr w:type="gramStart"/>
    <w:r>
      <w:rPr>
        <w:b/>
        <w:bCs/>
        <w:sz w:val="24"/>
        <w:szCs w:val="24"/>
      </w:rPr>
      <w:t>et</w:t>
    </w:r>
    <w:proofErr w:type="gramEnd"/>
    <w:r>
      <w:rPr>
        <w:b/>
        <w:bCs/>
        <w:sz w:val="24"/>
        <w:szCs w:val="24"/>
      </w:rPr>
      <w:t xml:space="preserve"> internationales et à la coopération</w:t>
    </w:r>
  </w:p>
  <w:p w:rsidR="00345C86" w:rsidRDefault="00345C86" w:rsidP="00ED58EB">
    <w:pPr>
      <w:pStyle w:val="En-tte"/>
      <w:jc w:val="right"/>
      <w:rPr>
        <w:b/>
        <w:bCs/>
        <w:sz w:val="24"/>
        <w:szCs w:val="24"/>
      </w:rPr>
    </w:pPr>
  </w:p>
  <w:p w:rsidR="00345C86" w:rsidRPr="004072D9" w:rsidRDefault="00345C86" w:rsidP="00ED58EB"/>
  <w:p w:rsidR="00345C86" w:rsidRPr="0090577C" w:rsidRDefault="00345C86" w:rsidP="00ED58EB">
    <w:pPr>
      <w:pStyle w:val="En-tte"/>
    </w:pPr>
  </w:p>
  <w:p w:rsidR="00345C86" w:rsidRPr="00ED58EB" w:rsidRDefault="00345C86">
    <w:pPr>
      <w:pStyle w:val="En-tte"/>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C0072"/>
    <w:rsid w:val="00345C86"/>
    <w:rsid w:val="00436C32"/>
    <w:rsid w:val="007C0072"/>
    <w:rsid w:val="00944E27"/>
    <w:rsid w:val="00C73D21"/>
    <w:rsid w:val="00ED58EB"/>
    <w:rsid w:val="00F542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58EB"/>
    <w:pPr>
      <w:tabs>
        <w:tab w:val="center" w:pos="4536"/>
        <w:tab w:val="right" w:pos="9072"/>
      </w:tabs>
      <w:spacing w:after="0" w:line="240" w:lineRule="auto"/>
    </w:pPr>
  </w:style>
  <w:style w:type="character" w:customStyle="1" w:styleId="En-tteCar">
    <w:name w:val="En-tête Car"/>
    <w:basedOn w:val="Policepardfaut"/>
    <w:link w:val="En-tte"/>
    <w:uiPriority w:val="99"/>
    <w:rsid w:val="00ED58EB"/>
  </w:style>
  <w:style w:type="paragraph" w:styleId="Pieddepage">
    <w:name w:val="footer"/>
    <w:basedOn w:val="Normal"/>
    <w:link w:val="PieddepageCar"/>
    <w:uiPriority w:val="99"/>
    <w:unhideWhenUsed/>
    <w:rsid w:val="00ED58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8EB"/>
  </w:style>
  <w:style w:type="paragraph" w:customStyle="1" w:styleId="Default">
    <w:name w:val="Default"/>
    <w:rsid w:val="00ED58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838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DESLOIR</dc:creator>
  <cp:lastModifiedBy>mvidal</cp:lastModifiedBy>
  <cp:revision>2</cp:revision>
  <dcterms:created xsi:type="dcterms:W3CDTF">2021-09-20T20:48:00Z</dcterms:created>
  <dcterms:modified xsi:type="dcterms:W3CDTF">2021-09-20T20:48:00Z</dcterms:modified>
</cp:coreProperties>
</file>